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p>
    <w:p>
      <w:pPr>
        <w:rPr>
          <w:rFonts w:hint="eastAsia"/>
          <w:lang w:val="en-US" w:eastAsia="zh-CN"/>
        </w:rPr>
      </w:pPr>
    </w:p>
    <w:p>
      <w:pPr>
        <w:spacing w:line="360" w:lineRule="auto"/>
        <w:jc w:val="both"/>
        <w:rPr>
          <w:rFonts w:hint="eastAsia" w:ascii="宋体" w:hAnsi="宋体" w:eastAsia="宋体" w:cs="宋体"/>
          <w:b/>
          <w:bCs/>
          <w:color w:val="auto"/>
          <w:sz w:val="52"/>
          <w:szCs w:val="52"/>
          <w:highlight w:val="none"/>
          <w:lang w:val="en-US" w:eastAsia="zh-CN"/>
        </w:rPr>
      </w:pPr>
    </w:p>
    <w:p>
      <w:pPr>
        <w:keepNext w:val="0"/>
        <w:keepLines w:val="0"/>
        <w:widowControl/>
        <w:suppressLineNumbers w:val="0"/>
        <w:jc w:val="left"/>
        <w:rPr>
          <w:color w:val="auto"/>
          <w:highlight w:val="none"/>
        </w:rPr>
      </w:pPr>
    </w:p>
    <w:p>
      <w:pPr>
        <w:spacing w:line="360" w:lineRule="auto"/>
        <w:jc w:val="center"/>
        <w:rPr>
          <w:rFonts w:hint="eastAsia" w:ascii="Times New Roman" w:hAnsi="Times New Roman" w:eastAsia="宋体" w:cs="Times New Roman"/>
          <w:b/>
          <w:bCs/>
          <w:color w:val="auto"/>
          <w:kern w:val="2"/>
          <w:sz w:val="36"/>
          <w:szCs w:val="36"/>
          <w:highlight w:val="none"/>
          <w:lang w:val="en-US" w:eastAsia="zh-CN" w:bidi="ar-SA"/>
        </w:rPr>
      </w:pPr>
      <w:r>
        <w:rPr>
          <w:rFonts w:hint="eastAsia" w:ascii="Times New Roman" w:hAnsi="Times New Roman" w:eastAsia="宋体" w:cs="Times New Roman"/>
          <w:b/>
          <w:bCs/>
          <w:color w:val="auto"/>
          <w:kern w:val="2"/>
          <w:sz w:val="36"/>
          <w:szCs w:val="36"/>
          <w:highlight w:val="none"/>
          <w:lang w:val="en-US" w:eastAsia="zh-CN" w:bidi="ar-SA"/>
        </w:rPr>
        <w:t>沈阳市水务局2024年城市公共供水水质抽样检测项目</w:t>
      </w:r>
    </w:p>
    <w:p>
      <w:pPr>
        <w:spacing w:line="360" w:lineRule="auto"/>
        <w:jc w:val="center"/>
        <w:rPr>
          <w:rFonts w:hint="eastAsia" w:ascii="宋体" w:hAnsi="宋体" w:eastAsia="宋体" w:cs="宋体"/>
          <w:b/>
          <w:bCs/>
          <w:color w:val="auto"/>
          <w:sz w:val="36"/>
          <w:szCs w:val="36"/>
          <w:highlight w:val="none"/>
          <w:lang w:val="en-US" w:eastAsia="zh-CN"/>
        </w:rPr>
      </w:pPr>
      <w:r>
        <w:rPr>
          <w:rFonts w:hint="eastAsia" w:ascii="Times New Roman" w:hAnsi="Times New Roman" w:eastAsia="宋体" w:cs="Times New Roman"/>
          <w:b/>
          <w:bCs/>
          <w:color w:val="auto"/>
          <w:kern w:val="2"/>
          <w:sz w:val="36"/>
          <w:szCs w:val="36"/>
          <w:highlight w:val="none"/>
          <w:lang w:val="en-US" w:eastAsia="zh-CN" w:bidi="ar-SA"/>
        </w:rPr>
        <w:t>第一季度水质分析报告</w:t>
      </w:r>
    </w:p>
    <w:p>
      <w:pPr>
        <w:spacing w:line="360" w:lineRule="auto"/>
        <w:jc w:val="center"/>
        <w:rPr>
          <w:rFonts w:hint="eastAsia" w:ascii="宋体" w:hAnsi="宋体" w:eastAsia="宋体" w:cs="宋体"/>
          <w:b/>
          <w:bCs/>
          <w:color w:val="auto"/>
          <w:sz w:val="44"/>
          <w:szCs w:val="44"/>
          <w:highlight w:val="none"/>
          <w:lang w:val="en-US" w:eastAsia="zh-CN"/>
        </w:rPr>
      </w:pPr>
    </w:p>
    <w:p>
      <w:pPr>
        <w:pStyle w:val="8"/>
        <w:rPr>
          <w:rFonts w:hint="eastAsia" w:ascii="宋体" w:hAnsi="宋体" w:eastAsia="宋体" w:cs="宋体"/>
          <w:b/>
          <w:bCs/>
          <w:color w:val="auto"/>
          <w:sz w:val="44"/>
          <w:szCs w:val="44"/>
          <w:highlight w:val="none"/>
          <w:lang w:val="en-US" w:eastAsia="zh-CN"/>
        </w:rPr>
      </w:pPr>
    </w:p>
    <w:p>
      <w:pPr>
        <w:pStyle w:val="9"/>
        <w:tabs>
          <w:tab w:val="left" w:pos="5511"/>
        </w:tabs>
        <w:jc w:val="left"/>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ab/>
      </w:r>
    </w:p>
    <w:p>
      <w:pPr>
        <w:pStyle w:val="9"/>
        <w:rPr>
          <w:rFonts w:hint="eastAsia" w:ascii="宋体" w:hAnsi="宋体" w:eastAsia="宋体" w:cs="宋体"/>
          <w:b/>
          <w:bCs/>
          <w:color w:val="auto"/>
          <w:sz w:val="44"/>
          <w:szCs w:val="44"/>
          <w:highlight w:val="none"/>
          <w:lang w:val="en-US" w:eastAsia="zh-CN"/>
        </w:rPr>
      </w:pPr>
    </w:p>
    <w:p>
      <w:pPr>
        <w:pStyle w:val="9"/>
        <w:ind w:left="0" w:leftChars="0" w:firstLine="0" w:firstLineChars="0"/>
        <w:jc w:val="both"/>
        <w:rPr>
          <w:rFonts w:hint="eastAsia" w:ascii="宋体" w:hAnsi="宋体" w:eastAsia="宋体" w:cs="宋体"/>
          <w:b/>
          <w:bCs/>
          <w:color w:val="auto"/>
          <w:sz w:val="44"/>
          <w:szCs w:val="44"/>
          <w:highlight w:val="none"/>
          <w:lang w:val="en-US" w:eastAsia="zh-CN"/>
        </w:rPr>
      </w:pPr>
    </w:p>
    <w:p>
      <w:pPr>
        <w:rPr>
          <w:rFonts w:hint="eastAsia" w:ascii="宋体" w:hAnsi="宋体" w:eastAsia="宋体" w:cs="宋体"/>
          <w:b/>
          <w:bCs/>
          <w:color w:val="auto"/>
          <w:sz w:val="44"/>
          <w:szCs w:val="44"/>
          <w:highlight w:val="none"/>
          <w:lang w:val="en-US" w:eastAsia="zh-CN"/>
        </w:rPr>
      </w:pPr>
    </w:p>
    <w:p>
      <w:pPr>
        <w:pStyle w:val="8"/>
        <w:rPr>
          <w:rFonts w:hint="eastAsia" w:ascii="宋体" w:hAnsi="宋体" w:eastAsia="宋体" w:cs="宋体"/>
          <w:b/>
          <w:bCs/>
          <w:color w:val="auto"/>
          <w:sz w:val="44"/>
          <w:szCs w:val="44"/>
          <w:highlight w:val="none"/>
          <w:lang w:val="en-US" w:eastAsia="zh-CN"/>
        </w:rPr>
      </w:pPr>
    </w:p>
    <w:p>
      <w:pPr>
        <w:pStyle w:val="9"/>
        <w:rPr>
          <w:rFonts w:hint="eastAsia" w:ascii="宋体" w:hAnsi="宋体" w:eastAsia="宋体" w:cs="宋体"/>
          <w:b/>
          <w:bCs/>
          <w:color w:val="auto"/>
          <w:sz w:val="44"/>
          <w:szCs w:val="44"/>
          <w:highlight w:val="none"/>
          <w:lang w:val="en-US" w:eastAsia="zh-CN"/>
        </w:rPr>
      </w:pPr>
    </w:p>
    <w:p>
      <w:pPr>
        <w:rPr>
          <w:rFonts w:hint="eastAsia"/>
          <w:lang w:val="en-US" w:eastAsia="zh-CN"/>
        </w:rPr>
      </w:pPr>
    </w:p>
    <w:p>
      <w:pPr>
        <w:pStyle w:val="9"/>
        <w:ind w:left="0" w:leftChars="0" w:firstLine="0" w:firstLineChars="0"/>
        <w:jc w:val="both"/>
        <w:rPr>
          <w:rFonts w:hint="eastAsia" w:ascii="宋体" w:hAnsi="宋体" w:eastAsia="宋体" w:cs="宋体"/>
          <w:b w:val="0"/>
          <w:bCs w:val="0"/>
          <w:color w:val="auto"/>
          <w:sz w:val="36"/>
          <w:szCs w:val="36"/>
          <w:highlight w:val="none"/>
          <w:lang w:val="en-US" w:eastAsia="zh-CN"/>
        </w:rPr>
      </w:pPr>
    </w:p>
    <w:p>
      <w:pPr>
        <w:pStyle w:val="13"/>
        <w:jc w:val="center"/>
        <w:rPr>
          <w:rFonts w:hint="default" w:ascii="Times New Roman" w:hAnsi="Times New Roman" w:eastAsia="宋体" w:cs="Times New Roman"/>
          <w:b/>
          <w:bCs/>
          <w:color w:val="auto"/>
          <w:sz w:val="30"/>
          <w:szCs w:val="30"/>
          <w:highlight w:val="none"/>
          <w:lang w:val="en-US" w:eastAsia="zh-CN"/>
        </w:rPr>
      </w:pPr>
      <w:r>
        <w:rPr>
          <w:rFonts w:hint="eastAsia" w:ascii="Times New Roman" w:hAnsi="Times New Roman" w:cs="Times New Roman"/>
          <w:b/>
          <w:bCs/>
          <w:color w:val="000000"/>
          <w:sz w:val="30"/>
          <w:szCs w:val="30"/>
          <w:highlight w:val="none"/>
          <w:lang w:val="en-US" w:eastAsia="zh-CN"/>
        </w:rPr>
        <w:t>编制单位：</w:t>
      </w:r>
      <w:r>
        <w:rPr>
          <w:rFonts w:hint="default" w:ascii="Times New Roman" w:hAnsi="Times New Roman" w:cs="Times New Roman"/>
          <w:b/>
          <w:bCs/>
          <w:color w:val="000000"/>
          <w:sz w:val="30"/>
          <w:szCs w:val="30"/>
          <w:highlight w:val="none"/>
        </w:rPr>
        <w:t>沈阳市中正</w:t>
      </w:r>
      <w:r>
        <w:rPr>
          <w:rFonts w:hint="default" w:ascii="Times New Roman" w:hAnsi="Times New Roman" w:eastAsia="宋体" w:cs="Times New Roman"/>
          <w:b/>
          <w:bCs/>
          <w:color w:val="000000"/>
          <w:sz w:val="30"/>
          <w:szCs w:val="30"/>
          <w:highlight w:val="none"/>
          <w:lang w:eastAsia="zh-CN"/>
        </w:rPr>
        <w:t>检测技术有限公司</w:t>
      </w:r>
    </w:p>
    <w:p>
      <w:pPr>
        <w:pStyle w:val="9"/>
        <w:ind w:left="0" w:leftChars="0" w:firstLine="0" w:firstLineChars="0"/>
        <w:jc w:val="center"/>
        <w:rPr>
          <w:rFonts w:hint="default" w:ascii="Times New Roman" w:hAnsi="Times New Roman" w:eastAsia="宋体" w:cs="Times New Roman"/>
          <w:b/>
          <w:bCs/>
          <w:color w:val="auto"/>
          <w:sz w:val="30"/>
          <w:szCs w:val="30"/>
          <w:highlight w:val="none"/>
          <w:lang w:val="en-US" w:eastAsia="zh-CN"/>
        </w:rPr>
      </w:pPr>
      <w:r>
        <w:rPr>
          <w:rFonts w:hint="default" w:ascii="Times New Roman" w:hAnsi="Times New Roman" w:eastAsia="宋体" w:cs="Times New Roman"/>
          <w:b/>
          <w:bCs/>
          <w:color w:val="auto"/>
          <w:sz w:val="30"/>
          <w:szCs w:val="30"/>
          <w:highlight w:val="none"/>
          <w:lang w:val="en-US" w:eastAsia="zh-CN"/>
        </w:rPr>
        <w:t>202</w:t>
      </w:r>
      <w:r>
        <w:rPr>
          <w:rFonts w:hint="eastAsia" w:ascii="Times New Roman" w:eastAsia="宋体" w:cs="Times New Roman"/>
          <w:b/>
          <w:bCs/>
          <w:color w:val="auto"/>
          <w:sz w:val="30"/>
          <w:szCs w:val="30"/>
          <w:highlight w:val="none"/>
          <w:lang w:val="en-US" w:eastAsia="zh-CN"/>
        </w:rPr>
        <w:t>4</w:t>
      </w:r>
      <w:r>
        <w:rPr>
          <w:rFonts w:hint="default" w:ascii="Times New Roman" w:hAnsi="Times New Roman" w:eastAsia="宋体" w:cs="Times New Roman"/>
          <w:b/>
          <w:bCs/>
          <w:color w:val="auto"/>
          <w:sz w:val="30"/>
          <w:szCs w:val="30"/>
          <w:highlight w:val="none"/>
          <w:lang w:val="en-US" w:eastAsia="zh-CN"/>
        </w:rPr>
        <w:t>年</w:t>
      </w:r>
      <w:r>
        <w:rPr>
          <w:rFonts w:hint="eastAsia" w:ascii="Times New Roman" w:eastAsia="宋体" w:cs="Times New Roman"/>
          <w:b/>
          <w:bCs/>
          <w:color w:val="auto"/>
          <w:sz w:val="30"/>
          <w:szCs w:val="30"/>
          <w:highlight w:val="none"/>
          <w:lang w:val="en-US" w:eastAsia="zh-CN"/>
        </w:rPr>
        <w:t>03</w:t>
      </w:r>
      <w:r>
        <w:rPr>
          <w:rFonts w:hint="default" w:ascii="Times New Roman" w:hAnsi="Times New Roman" w:eastAsia="宋体" w:cs="Times New Roman"/>
          <w:b/>
          <w:bCs/>
          <w:color w:val="auto"/>
          <w:sz w:val="30"/>
          <w:szCs w:val="30"/>
          <w:highlight w:val="none"/>
          <w:lang w:val="en-US" w:eastAsia="zh-CN"/>
        </w:rPr>
        <w:t>月</w:t>
      </w:r>
      <w:r>
        <w:rPr>
          <w:rFonts w:hint="eastAsia" w:ascii="Times New Roman" w:eastAsia="宋体" w:cs="Times New Roman"/>
          <w:b/>
          <w:bCs/>
          <w:color w:val="auto"/>
          <w:sz w:val="30"/>
          <w:szCs w:val="30"/>
          <w:highlight w:val="none"/>
          <w:lang w:val="en-US" w:eastAsia="zh-CN"/>
        </w:rPr>
        <w:t>31日</w:t>
      </w:r>
    </w:p>
    <w:p>
      <w:pPr>
        <w:rPr>
          <w:rFonts w:hint="default" w:ascii="Times New Roman" w:hAnsi="Times New Roman" w:eastAsia="宋体" w:cs="Times New Roman"/>
          <w:b/>
          <w:bCs/>
          <w:color w:val="auto"/>
          <w:sz w:val="30"/>
          <w:szCs w:val="30"/>
          <w:highlight w:val="none"/>
          <w:lang w:val="en-US" w:eastAsia="zh-CN"/>
        </w:rPr>
      </w:pPr>
    </w:p>
    <w:p>
      <w:pPr>
        <w:pStyle w:val="8"/>
        <w:rPr>
          <w:rFonts w:hint="default" w:ascii="Times New Roman" w:hAnsi="Times New Roman" w:eastAsia="宋体" w:cs="Times New Roman"/>
          <w:b/>
          <w:bCs/>
          <w:color w:val="auto"/>
          <w:sz w:val="30"/>
          <w:szCs w:val="30"/>
          <w:highlight w:val="none"/>
          <w:lang w:val="en-US" w:eastAsia="zh-CN"/>
        </w:rPr>
      </w:pPr>
      <w:bookmarkStart w:id="0" w:name="_GoBack"/>
      <w:bookmarkEnd w:id="0"/>
    </w:p>
    <w:p>
      <w:pPr>
        <w:pStyle w:val="9"/>
        <w:rPr>
          <w:rFonts w:hint="default" w:ascii="Times New Roman" w:hAnsi="Times New Roman" w:eastAsia="宋体" w:cs="Times New Roman"/>
          <w:b/>
          <w:bCs/>
          <w:color w:val="auto"/>
          <w:sz w:val="30"/>
          <w:szCs w:val="30"/>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0"/>
        <w:rPr>
          <w:rFonts w:hint="eastAsia" w:ascii="Times New Roman" w:hAnsi="Times New Roman" w:eastAsia="宋体" w:cs="Times New Roman"/>
          <w:b/>
          <w:bCs/>
          <w:color w:val="auto"/>
          <w:sz w:val="30"/>
          <w:szCs w:val="30"/>
          <w:highlight w:val="none"/>
          <w:lang w:val="en-US" w:eastAsia="zh-CN"/>
        </w:rPr>
        <w:sectPr>
          <w:head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0"/>
        <w:rPr>
          <w:rFonts w:hint="eastAsia" w:ascii="Times New Roman" w:hAnsi="Times New Roman" w:eastAsia="宋体" w:cs="Times New Roman"/>
          <w:b/>
          <w:bCs/>
          <w:color w:val="auto"/>
          <w:sz w:val="30"/>
          <w:szCs w:val="30"/>
          <w:highlight w:val="none"/>
          <w:lang w:val="en-US" w:eastAsia="zh-CN"/>
        </w:rPr>
      </w:pPr>
      <w:r>
        <w:rPr>
          <w:rFonts w:hint="eastAsia" w:ascii="Times New Roman" w:hAnsi="Times New Roman" w:eastAsia="宋体" w:cs="Times New Roman"/>
          <w:b/>
          <w:bCs/>
          <w:color w:val="auto"/>
          <w:sz w:val="30"/>
          <w:szCs w:val="30"/>
          <w:highlight w:val="none"/>
          <w:lang w:val="en-US" w:eastAsia="zh-CN"/>
        </w:rPr>
        <w:t>前言</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600" w:firstLineChars="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城市公共供水的水质直接关系到市民的身体健康，为保障城市公共供水的水质安全，沈阳市已连续多年开展城市公共供水水质抽样检测工作，对全市供水企业出厂水和管网水水质进行检测，及时发现水质波动变化和异常情况，确保城市居民喝上放心饮用水。按照2024年度沈阳市水务局关于对城市公共供水水质进行抽检的通知要求，</w:t>
      </w:r>
      <w:r>
        <w:rPr>
          <w:rFonts w:hint="default" w:ascii="Times New Roman" w:hAnsi="Times New Roman" w:cs="Times New Roman"/>
          <w:color w:val="000000"/>
          <w:sz w:val="24"/>
          <w:szCs w:val="24"/>
          <w:highlight w:val="none"/>
        </w:rPr>
        <w:t>沈阳市中正</w:t>
      </w:r>
      <w:r>
        <w:rPr>
          <w:rFonts w:hint="default" w:ascii="Times New Roman" w:hAnsi="Times New Roman" w:eastAsia="宋体" w:cs="Times New Roman"/>
          <w:color w:val="000000"/>
          <w:sz w:val="24"/>
          <w:szCs w:val="24"/>
          <w:highlight w:val="none"/>
          <w:lang w:eastAsia="zh-CN"/>
        </w:rPr>
        <w:t>检测技术有限</w:t>
      </w:r>
      <w:r>
        <w:rPr>
          <w:rFonts w:hint="default" w:ascii="Times New Roman" w:hAnsi="Times New Roman" w:cs="Times New Roman"/>
          <w:color w:val="000000"/>
          <w:sz w:val="24"/>
          <w:szCs w:val="24"/>
          <w:highlight w:val="none"/>
          <w:lang w:eastAsia="zh-CN"/>
        </w:rPr>
        <w:t>公司于</w:t>
      </w:r>
      <w:r>
        <w:rPr>
          <w:rFonts w:hint="eastAsia" w:ascii="Times New Roman" w:hAnsi="Times New Roman" w:cs="Times New Roman"/>
          <w:color w:val="000000"/>
          <w:sz w:val="24"/>
          <w:szCs w:val="24"/>
          <w:highlight w:val="none"/>
          <w:lang w:eastAsia="zh-CN"/>
        </w:rPr>
        <w:t>2024年03月</w:t>
      </w:r>
      <w:r>
        <w:rPr>
          <w:rFonts w:hint="eastAsia" w:ascii="Times New Roman" w:hAnsi="Times New Roman" w:cs="Times New Roman"/>
          <w:color w:val="000000"/>
          <w:sz w:val="24"/>
          <w:szCs w:val="24"/>
          <w:highlight w:val="none"/>
          <w:lang w:val="en-US" w:eastAsia="zh-CN"/>
        </w:rPr>
        <w:t>开展了</w:t>
      </w:r>
      <w:r>
        <w:rPr>
          <w:rFonts w:hint="eastAsia" w:ascii="Times New Roman" w:hAnsi="Times New Roman" w:cs="Times New Roman"/>
          <w:color w:val="000000"/>
          <w:sz w:val="24"/>
          <w:szCs w:val="24"/>
          <w:highlight w:val="none"/>
          <w:lang w:eastAsia="zh-CN"/>
        </w:rPr>
        <w:t>沈阳市水务局2024年城市公共供水水质抽样检测项目</w:t>
      </w:r>
      <w:r>
        <w:rPr>
          <w:rFonts w:hint="eastAsia" w:ascii="Times New Roman" w:hAnsi="Times New Roman" w:cs="Times New Roman"/>
          <w:color w:val="000000"/>
          <w:sz w:val="24"/>
          <w:szCs w:val="24"/>
          <w:highlight w:val="none"/>
          <w:lang w:val="en-US" w:eastAsia="zh-CN"/>
        </w:rPr>
        <w:t>的第一季度检测工作，根据检测数据、相关标准和技术规范编制本报告。</w:t>
      </w:r>
    </w:p>
    <w:p>
      <w:pPr>
        <w:pStyle w:val="8"/>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leftChars="0" w:firstLine="0" w:firstLineChars="0"/>
        <w:textAlignment w:val="auto"/>
        <w:outlineLvl w:val="0"/>
        <w:rPr>
          <w:rFonts w:hint="eastAsia" w:ascii="Times New Roman" w:hAnsi="Times New Roman" w:eastAsia="宋体" w:cs="Times New Roman"/>
          <w:b/>
          <w:bCs/>
          <w:color w:val="auto"/>
          <w:sz w:val="30"/>
          <w:szCs w:val="30"/>
          <w:highlight w:val="none"/>
          <w:lang w:val="en-US" w:eastAsia="zh-CN"/>
        </w:rPr>
      </w:pPr>
      <w:r>
        <w:rPr>
          <w:rFonts w:hint="eastAsia" w:ascii="Times New Roman" w:hAnsi="Times New Roman" w:eastAsia="宋体" w:cs="Times New Roman"/>
          <w:b/>
          <w:bCs/>
          <w:color w:val="auto"/>
          <w:sz w:val="30"/>
          <w:szCs w:val="30"/>
          <w:highlight w:val="none"/>
          <w:lang w:val="en-US" w:eastAsia="zh-CN"/>
        </w:rPr>
        <w:t>检测内容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Times New Roman" w:hAnsi="Times New Roman" w:eastAsia="宋体" w:cs="Times New Roman"/>
          <w:b/>
          <w:bCs/>
          <w:kern w:val="0"/>
          <w:sz w:val="28"/>
          <w:szCs w:val="28"/>
          <w:highlight w:val="none"/>
          <w:lang w:val="en-US" w:eastAsia="zh-CN"/>
        </w:rPr>
      </w:pPr>
      <w:r>
        <w:rPr>
          <w:rFonts w:hint="eastAsia" w:ascii="Times New Roman" w:hAnsi="Times New Roman" w:eastAsia="宋体" w:cs="Times New Roman"/>
          <w:b/>
          <w:bCs/>
          <w:kern w:val="0"/>
          <w:sz w:val="28"/>
          <w:szCs w:val="28"/>
          <w:highlight w:val="none"/>
          <w:lang w:val="en-US" w:eastAsia="zh-CN"/>
        </w:rPr>
        <w:t>1、</w:t>
      </w:r>
      <w:r>
        <w:rPr>
          <w:rFonts w:hint="default" w:ascii="Times New Roman" w:hAnsi="Times New Roman" w:eastAsia="宋体" w:cs="Times New Roman"/>
          <w:b/>
          <w:bCs/>
          <w:kern w:val="0"/>
          <w:sz w:val="28"/>
          <w:szCs w:val="28"/>
          <w:highlight w:val="none"/>
        </w:rPr>
        <w:t>检测项目及频次</w:t>
      </w:r>
    </w:p>
    <w:p>
      <w:pPr>
        <w:pStyle w:val="9"/>
        <w:numPr>
          <w:ilvl w:val="0"/>
          <w:numId w:val="0"/>
        </w:numPr>
        <w:spacing w:line="360" w:lineRule="auto"/>
        <w:ind w:leftChars="0" w:firstLine="480" w:firstLineChars="200"/>
        <w:jc w:val="both"/>
        <w:rPr>
          <w:rFonts w:hint="default" w:ascii="Times New Roman" w:hAnsi="Times New Roman" w:eastAsia="宋体" w:cs="Times New Roman"/>
          <w:b w:val="0"/>
          <w:bCs w:val="0"/>
          <w:color w:val="000000"/>
          <w:sz w:val="24"/>
          <w:szCs w:val="24"/>
          <w:highlight w:val="none"/>
          <w:lang w:val="en-US" w:eastAsia="zh-CN" w:bidi="ar"/>
        </w:rPr>
      </w:pPr>
      <w:r>
        <w:rPr>
          <w:rFonts w:hint="default" w:ascii="Times New Roman" w:hAnsi="Times New Roman" w:eastAsia="宋体" w:cs="Times New Roman"/>
          <w:b w:val="0"/>
          <w:bCs w:val="0"/>
          <w:color w:val="auto"/>
          <w:sz w:val="24"/>
          <w:szCs w:val="24"/>
          <w:highlight w:val="none"/>
          <w:lang w:val="en-US" w:eastAsia="zh-CN"/>
        </w:rPr>
        <w:t>按照</w:t>
      </w:r>
      <w:r>
        <w:rPr>
          <w:rFonts w:hint="default" w:ascii="Times New Roman" w:hAnsi="Times New Roman" w:eastAsia="宋体" w:cs="Times New Roman"/>
          <w:b w:val="0"/>
          <w:bCs w:val="0"/>
          <w:color w:val="000000"/>
          <w:sz w:val="24"/>
          <w:szCs w:val="24"/>
          <w:highlight w:val="none"/>
          <w:lang w:eastAsia="zh-CN"/>
        </w:rPr>
        <w:t>沈阳市水务局2024年城市公共供水水质抽样检测项目</w:t>
      </w:r>
      <w:r>
        <w:rPr>
          <w:rFonts w:hint="default" w:ascii="Times New Roman" w:hAnsi="Times New Roman" w:eastAsia="宋体" w:cs="Times New Roman"/>
          <w:b w:val="0"/>
          <w:bCs w:val="0"/>
          <w:color w:val="000000"/>
          <w:sz w:val="24"/>
          <w:szCs w:val="24"/>
          <w:highlight w:val="none"/>
          <w:lang w:val="en-US" w:eastAsia="zh-CN"/>
        </w:rPr>
        <w:t>第一季度检测计划，本季度</w:t>
      </w:r>
      <w:r>
        <w:rPr>
          <w:rFonts w:hint="default" w:ascii="Times New Roman" w:hAnsi="Times New Roman" w:eastAsia="宋体" w:cs="Times New Roman"/>
          <w:b w:val="0"/>
          <w:bCs w:val="0"/>
          <w:color w:val="000000"/>
          <w:sz w:val="24"/>
          <w:szCs w:val="24"/>
          <w:highlight w:val="none"/>
          <w:lang w:val="en-US" w:eastAsia="zh-CN" w:bidi="ar"/>
        </w:rPr>
        <w:t>随机抽取的20处城市供水管网末梢水进行43项指标检测中工作</w:t>
      </w:r>
      <w:r>
        <w:rPr>
          <w:rFonts w:hint="eastAsia" w:ascii="Times New Roman" w:hAnsi="Times New Roman" w:eastAsia="宋体" w:cs="Times New Roman"/>
          <w:b w:val="0"/>
          <w:bCs w:val="0"/>
          <w:color w:val="000000"/>
          <w:sz w:val="24"/>
          <w:szCs w:val="24"/>
          <w:highlight w:val="none"/>
          <w:lang w:val="en-US" w:eastAsia="zh-CN" w:bidi="ar"/>
        </w:rPr>
        <w:t>，具体情况详见表1.</w:t>
      </w:r>
    </w:p>
    <w:tbl>
      <w:tblPr>
        <w:tblStyle w:val="15"/>
        <w:tblW w:w="4987"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282"/>
        <w:gridCol w:w="4679"/>
        <w:gridCol w:w="228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50" w:type="pct"/>
            <w:tcBorders>
              <w:tl2br w:val="nil"/>
              <w:tr2bl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序号</w:t>
            </w:r>
          </w:p>
        </w:tc>
        <w:tc>
          <w:tcPr>
            <w:tcW w:w="1148" w:type="pct"/>
            <w:tcBorders>
              <w:tl2br w:val="nil"/>
              <w:tr2bl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采样点位</w:t>
            </w:r>
          </w:p>
        </w:tc>
        <w:tc>
          <w:tcPr>
            <w:tcW w:w="2354" w:type="pc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rPr>
              <w:t>检测项目</w:t>
            </w:r>
          </w:p>
        </w:tc>
        <w:tc>
          <w:tcPr>
            <w:tcW w:w="1147" w:type="pct"/>
            <w:tcBorders>
              <w:tl2br w:val="nil"/>
              <w:tr2bl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检测频次</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0" w:type="pct"/>
            <w:tcBorders>
              <w:tl2br w:val="nil"/>
              <w:tr2bl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148" w:type="pct"/>
            <w:tcBorders>
              <w:tl2br w:val="nil"/>
              <w:tr2bl w:val="nil"/>
            </w:tcBorders>
            <w:noWrap w:val="0"/>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eastAsia="zh-CN"/>
              </w:rPr>
              <w:t>北海宝马泵站</w:t>
            </w:r>
          </w:p>
        </w:tc>
        <w:tc>
          <w:tcPr>
            <w:tcW w:w="2354" w:type="pct"/>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r>
              <w:rPr>
                <w:rFonts w:hint="default" w:ascii="Times New Roman" w:hAnsi="Times New Roman" w:eastAsia="宋体" w:cs="Times New Roman"/>
                <w:color w:val="auto"/>
                <w:sz w:val="21"/>
                <w:szCs w:val="21"/>
                <w:highlight w:val="none"/>
              </w:rPr>
              <w:t>总大肠菌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大肠埃希氏菌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菌落总数</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砷</w:t>
            </w:r>
            <w:r>
              <w:rPr>
                <w:rFonts w:hint="default" w:ascii="Times New Roman" w:hAnsi="Times New Roman" w:eastAsia="宋体" w:cs="Times New Roman"/>
                <w:sz w:val="21"/>
                <w:szCs w:val="21"/>
                <w:highlight w:val="none"/>
                <w:vertAlign w:val="baseline"/>
                <w:lang w:val="en-US" w:eastAsia="zh-CN"/>
              </w:rPr>
              <w:t>、镉、</w:t>
            </w:r>
            <w:r>
              <w:rPr>
                <w:rFonts w:hint="default" w:ascii="Times New Roman" w:hAnsi="Times New Roman" w:eastAsia="宋体" w:cs="Times New Roman"/>
                <w:color w:val="auto"/>
                <w:sz w:val="21"/>
                <w:szCs w:val="21"/>
                <w:highlight w:val="none"/>
              </w:rPr>
              <w:t>铬（六价）</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铅</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汞</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氰化物</w:t>
            </w:r>
            <w:r>
              <w:rPr>
                <w:rFonts w:hint="default" w:ascii="Times New Roman" w:hAnsi="Times New Roman" w:eastAsia="宋体" w:cs="Times New Roman"/>
                <w:sz w:val="21"/>
                <w:szCs w:val="21"/>
                <w:highlight w:val="none"/>
                <w:vertAlign w:val="baseline"/>
                <w:lang w:val="en-US" w:eastAsia="zh-CN"/>
              </w:rPr>
              <w:t>、氟化物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硝酸盐</w:t>
            </w:r>
            <w:r>
              <w:rPr>
                <w:rFonts w:hint="default" w:ascii="Times New Roman" w:hAnsi="Times New Roman" w:eastAsia="宋体" w:cs="Times New Roman"/>
                <w:color w:val="auto"/>
                <w:sz w:val="21"/>
                <w:szCs w:val="21"/>
                <w:highlight w:val="none"/>
                <w:lang w:eastAsia="zh-CN"/>
              </w:rPr>
              <w:t>（以</w:t>
            </w:r>
            <w:r>
              <w:rPr>
                <w:rFonts w:hint="default" w:ascii="Times New Roman" w:hAnsi="Times New Roman" w:eastAsia="宋体" w:cs="Times New Roman"/>
                <w:color w:val="auto"/>
                <w:sz w:val="21"/>
                <w:szCs w:val="21"/>
                <w:highlight w:val="none"/>
                <w:lang w:val="en-US" w:eastAsia="zh-CN"/>
              </w:rPr>
              <w:t>N计</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三氯甲烷</w:t>
            </w:r>
            <w:r>
              <w:rPr>
                <w:rFonts w:hint="default" w:ascii="Times New Roman" w:hAnsi="Times New Roman" w:eastAsia="宋体" w:cs="Times New Roman"/>
                <w:color w:val="auto"/>
                <w:sz w:val="21"/>
                <w:szCs w:val="21"/>
                <w:highlight w:val="none"/>
                <w:lang w:val="en-US" w:eastAsia="zh-CN"/>
              </w:rPr>
              <w:t>、一氯二溴甲烷、二氯一溴甲烷、三溴甲烷、</w:t>
            </w:r>
            <w:r>
              <w:rPr>
                <w:rFonts w:hint="default" w:ascii="Times New Roman" w:hAnsi="Times New Roman" w:eastAsia="宋体" w:cs="Times New Roman"/>
                <w:snapToGrid w:val="0"/>
                <w:kern w:val="0"/>
                <w:sz w:val="21"/>
                <w:szCs w:val="21"/>
                <w:highlight w:val="none"/>
                <w:lang w:val="en-US" w:eastAsia="zh-CN" w:bidi="ar-SA"/>
              </w:rPr>
              <w:t>三卤甲烷（包含</w:t>
            </w:r>
            <w:r>
              <w:rPr>
                <w:rFonts w:hint="default" w:ascii="Times New Roman" w:hAnsi="Times New Roman" w:eastAsia="宋体" w:cs="Times New Roman"/>
                <w:color w:val="auto"/>
                <w:sz w:val="21"/>
                <w:szCs w:val="21"/>
                <w:highlight w:val="none"/>
              </w:rPr>
              <w:t>三氯甲烷</w:t>
            </w:r>
            <w:r>
              <w:rPr>
                <w:rFonts w:hint="default" w:ascii="Times New Roman" w:hAnsi="Times New Roman" w:eastAsia="宋体" w:cs="Times New Roman"/>
                <w:color w:val="auto"/>
                <w:sz w:val="21"/>
                <w:szCs w:val="21"/>
                <w:highlight w:val="none"/>
                <w:lang w:val="en-US" w:eastAsia="zh-CN"/>
              </w:rPr>
              <w:t>、一氯二溴甲烷、二氯一溴甲烷、三溴甲烷</w:t>
            </w:r>
            <w:r>
              <w:rPr>
                <w:rFonts w:hint="default" w:ascii="Times New Roman" w:hAnsi="Times New Roman" w:eastAsia="宋体" w:cs="Times New Roman"/>
                <w:snapToGrid w:val="0"/>
                <w:kern w:val="0"/>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rPr>
              <w:t>二氯乙酸、三氯乙酸、溴酸盐、亚氯酸盐、氯酸盐</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色度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浑浊度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臭和味</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肉眼可见物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lang w:val="en-US" w:eastAsia="zh-CN"/>
              </w:rPr>
              <w:t>值</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铝</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铁</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锰</w:t>
            </w:r>
            <w:r>
              <w:rPr>
                <w:rFonts w:hint="default" w:ascii="Times New Roman" w:hAnsi="Times New Roman" w:eastAsia="宋体" w:cs="Times New Roman"/>
                <w:sz w:val="21"/>
                <w:szCs w:val="21"/>
                <w:highlight w:val="none"/>
                <w:vertAlign w:val="baseline"/>
                <w:lang w:val="en-US" w:eastAsia="zh-CN"/>
              </w:rPr>
              <w:t>、铜</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氯化物</w:t>
            </w:r>
            <w:r>
              <w:rPr>
                <w:rFonts w:hint="default" w:ascii="Times New Roman" w:hAnsi="Times New Roman" w:eastAsia="宋体" w:cs="Times New Roman"/>
                <w:sz w:val="21"/>
                <w:szCs w:val="21"/>
                <w:highlight w:val="none"/>
                <w:vertAlign w:val="baseline"/>
                <w:lang w:val="en-US" w:eastAsia="zh-CN"/>
              </w:rPr>
              <w:t>、硫酸盐、</w:t>
            </w:r>
            <w:r>
              <w:rPr>
                <w:rFonts w:hint="default" w:ascii="Times New Roman" w:hAnsi="Times New Roman" w:eastAsia="宋体" w:cs="Times New Roman"/>
                <w:color w:val="auto"/>
                <w:sz w:val="21"/>
                <w:szCs w:val="21"/>
                <w:highlight w:val="none"/>
              </w:rPr>
              <w:t>溶解性总固体</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总硬度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Cs/>
                <w:color w:val="auto"/>
                <w:sz w:val="21"/>
                <w:szCs w:val="21"/>
                <w:highlight w:val="none"/>
              </w:rPr>
              <w:t>高锰酸盐指数（以O</w:t>
            </w:r>
            <w:r>
              <w:rPr>
                <w:rFonts w:hint="default" w:ascii="Times New Roman" w:hAnsi="Times New Roman" w:eastAsia="宋体" w:cs="Times New Roman"/>
                <w:bCs/>
                <w:color w:val="auto"/>
                <w:sz w:val="21"/>
                <w:szCs w:val="21"/>
                <w:highlight w:val="none"/>
                <w:vertAlign w:val="subscript"/>
              </w:rPr>
              <w:t>2</w:t>
            </w:r>
            <w:r>
              <w:rPr>
                <w:rFonts w:hint="default" w:ascii="Times New Roman" w:hAnsi="Times New Roman" w:eastAsia="宋体" w:cs="Times New Roman"/>
                <w:bCs/>
                <w:color w:val="auto"/>
                <w:sz w:val="21"/>
                <w:szCs w:val="21"/>
                <w:highlight w:val="none"/>
              </w:rPr>
              <w:t>计）</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color w:val="auto"/>
                <w:sz w:val="21"/>
                <w:szCs w:val="21"/>
                <w:highlight w:val="none"/>
              </w:rPr>
              <w:t>氨（以N计）</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总α放射性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总β放射性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游离氯、总氯、臭氧、二氧化氯</w:t>
            </w:r>
          </w:p>
        </w:tc>
        <w:tc>
          <w:tcPr>
            <w:tcW w:w="1147" w:type="pct"/>
            <w:vMerge w:val="restart"/>
            <w:tcBorders>
              <w:tl2br w:val="nil"/>
              <w:tr2bl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天，</w:t>
            </w:r>
            <w:r>
              <w:rPr>
                <w:rFonts w:hint="default" w:ascii="Times New Roman" w:hAnsi="Times New Roman" w:eastAsia="宋体" w:cs="Times New Roman"/>
                <w:sz w:val="21"/>
                <w:szCs w:val="21"/>
                <w:highlight w:val="none"/>
                <w:lang w:eastAsia="zh-CN"/>
              </w:rPr>
              <w:t>监测</w:t>
            </w:r>
            <w:r>
              <w:rPr>
                <w:rFonts w:hint="default" w:ascii="Times New Roman" w:hAnsi="Times New Roman" w:eastAsia="宋体" w:cs="Times New Roman"/>
                <w:sz w:val="21"/>
                <w:szCs w:val="21"/>
                <w:highlight w:val="none"/>
                <w:lang w:val="en-US" w:eastAsia="zh-CN"/>
              </w:rPr>
              <w:t>1次</w:t>
            </w:r>
            <w:r>
              <w:rPr>
                <w:rFonts w:hint="default" w:ascii="Times New Roman" w:hAnsi="Times New Roman" w:eastAsia="宋体" w:cs="Times New Roman"/>
                <w:sz w:val="21"/>
                <w:szCs w:val="21"/>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1148" w:type="pct"/>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eastAsia="zh-CN"/>
              </w:rPr>
              <w:t>二台子自来水营业所</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p>
        </w:tc>
        <w:tc>
          <w:tcPr>
            <w:tcW w:w="1148" w:type="pct"/>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eastAsia="zh-CN"/>
              </w:rPr>
              <w:t>金桥所汇新泵站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p>
        </w:tc>
        <w:tc>
          <w:tcPr>
            <w:tcW w:w="1148" w:type="pct"/>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eastAsia="zh-CN"/>
              </w:rPr>
              <w:t>东塔所锦绣花园泵站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w:t>
            </w:r>
          </w:p>
        </w:tc>
        <w:tc>
          <w:tcPr>
            <w:tcW w:w="1148" w:type="pct"/>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eastAsia="zh-CN"/>
              </w:rPr>
              <w:t>汽车城南区泵站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w:t>
            </w:r>
          </w:p>
        </w:tc>
        <w:tc>
          <w:tcPr>
            <w:tcW w:w="1148" w:type="pct"/>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eastAsia="zh-CN"/>
              </w:rPr>
              <w:t>华园新村泵站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w:t>
            </w:r>
          </w:p>
        </w:tc>
        <w:tc>
          <w:tcPr>
            <w:tcW w:w="0" w:type="auto"/>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eastAsia="zh-CN"/>
              </w:rPr>
              <w:t>军区联勤部泵站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w:t>
            </w:r>
          </w:p>
        </w:tc>
        <w:tc>
          <w:tcPr>
            <w:tcW w:w="0" w:type="auto"/>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eastAsia="zh-CN"/>
              </w:rPr>
              <w:t>正轩悦堂泵站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w:t>
            </w:r>
          </w:p>
        </w:tc>
        <w:tc>
          <w:tcPr>
            <w:tcW w:w="0" w:type="auto"/>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eastAsia="zh-CN"/>
              </w:rPr>
              <w:t>玖成乐府泵站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w:t>
            </w:r>
          </w:p>
        </w:tc>
        <w:tc>
          <w:tcPr>
            <w:tcW w:w="0" w:type="auto"/>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eastAsia="zh-CN"/>
              </w:rPr>
              <w:t>工人村泵站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11</w:t>
            </w:r>
          </w:p>
        </w:tc>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CN"/>
              </w:rPr>
              <w:t>太清宫泵站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12</w:t>
            </w:r>
          </w:p>
        </w:tc>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CN"/>
              </w:rPr>
              <w:t>山东堡泵站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13</w:t>
            </w:r>
          </w:p>
        </w:tc>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CN"/>
              </w:rPr>
              <w:t>电话东泵站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14</w:t>
            </w:r>
          </w:p>
        </w:tc>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CN"/>
              </w:rPr>
              <w:t>翠生泵站</w:t>
            </w:r>
          </w:p>
        </w:tc>
        <w:tc>
          <w:tcPr>
            <w:tcW w:w="2354" w:type="pct"/>
            <w:vMerge w:val="restar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r>
              <w:rPr>
                <w:rFonts w:hint="default" w:ascii="Times New Roman" w:hAnsi="Times New Roman" w:eastAsia="宋体" w:cs="Times New Roman"/>
                <w:color w:val="auto"/>
                <w:sz w:val="21"/>
                <w:szCs w:val="21"/>
                <w:highlight w:val="none"/>
              </w:rPr>
              <w:t>总大肠菌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大肠埃希氏菌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菌落总数</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砷</w:t>
            </w:r>
            <w:r>
              <w:rPr>
                <w:rFonts w:hint="default" w:ascii="Times New Roman" w:hAnsi="Times New Roman" w:eastAsia="宋体" w:cs="Times New Roman"/>
                <w:sz w:val="21"/>
                <w:szCs w:val="21"/>
                <w:highlight w:val="none"/>
                <w:vertAlign w:val="baseline"/>
                <w:lang w:val="en-US" w:eastAsia="zh-CN"/>
              </w:rPr>
              <w:t>、镉、</w:t>
            </w:r>
            <w:r>
              <w:rPr>
                <w:rFonts w:hint="default" w:ascii="Times New Roman" w:hAnsi="Times New Roman" w:eastAsia="宋体" w:cs="Times New Roman"/>
                <w:color w:val="auto"/>
                <w:sz w:val="21"/>
                <w:szCs w:val="21"/>
                <w:highlight w:val="none"/>
              </w:rPr>
              <w:t>铬（六价）</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铅</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汞</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氰化物</w:t>
            </w:r>
            <w:r>
              <w:rPr>
                <w:rFonts w:hint="default" w:ascii="Times New Roman" w:hAnsi="Times New Roman" w:eastAsia="宋体" w:cs="Times New Roman"/>
                <w:sz w:val="21"/>
                <w:szCs w:val="21"/>
                <w:highlight w:val="none"/>
                <w:vertAlign w:val="baseline"/>
                <w:lang w:val="en-US" w:eastAsia="zh-CN"/>
              </w:rPr>
              <w:t>、氟化物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硝酸盐</w:t>
            </w:r>
            <w:r>
              <w:rPr>
                <w:rFonts w:hint="default" w:ascii="Times New Roman" w:hAnsi="Times New Roman" w:eastAsia="宋体" w:cs="Times New Roman"/>
                <w:color w:val="auto"/>
                <w:sz w:val="21"/>
                <w:szCs w:val="21"/>
                <w:highlight w:val="none"/>
                <w:lang w:eastAsia="zh-CN"/>
              </w:rPr>
              <w:t>（以</w:t>
            </w:r>
            <w:r>
              <w:rPr>
                <w:rFonts w:hint="default" w:ascii="Times New Roman" w:hAnsi="Times New Roman" w:eastAsia="宋体" w:cs="Times New Roman"/>
                <w:color w:val="auto"/>
                <w:sz w:val="21"/>
                <w:szCs w:val="21"/>
                <w:highlight w:val="none"/>
                <w:lang w:val="en-US" w:eastAsia="zh-CN"/>
              </w:rPr>
              <w:t>N计</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三氯甲烷</w:t>
            </w:r>
            <w:r>
              <w:rPr>
                <w:rFonts w:hint="default" w:ascii="Times New Roman" w:hAnsi="Times New Roman" w:eastAsia="宋体" w:cs="Times New Roman"/>
                <w:color w:val="auto"/>
                <w:sz w:val="21"/>
                <w:szCs w:val="21"/>
                <w:highlight w:val="none"/>
                <w:lang w:val="en-US" w:eastAsia="zh-CN"/>
              </w:rPr>
              <w:t>、一氯二溴甲烷、二氯一溴甲烷、三溴甲烷、</w:t>
            </w:r>
            <w:r>
              <w:rPr>
                <w:rFonts w:hint="default" w:ascii="Times New Roman" w:hAnsi="Times New Roman" w:eastAsia="宋体" w:cs="Times New Roman"/>
                <w:snapToGrid w:val="0"/>
                <w:kern w:val="0"/>
                <w:sz w:val="21"/>
                <w:szCs w:val="21"/>
                <w:highlight w:val="none"/>
                <w:lang w:val="en-US" w:eastAsia="zh-CN" w:bidi="ar-SA"/>
              </w:rPr>
              <w:t>三卤甲烷（包含</w:t>
            </w:r>
            <w:r>
              <w:rPr>
                <w:rFonts w:hint="default" w:ascii="Times New Roman" w:hAnsi="Times New Roman" w:eastAsia="宋体" w:cs="Times New Roman"/>
                <w:color w:val="auto"/>
                <w:sz w:val="21"/>
                <w:szCs w:val="21"/>
                <w:highlight w:val="none"/>
              </w:rPr>
              <w:t>三氯甲烷</w:t>
            </w:r>
            <w:r>
              <w:rPr>
                <w:rFonts w:hint="default" w:ascii="Times New Roman" w:hAnsi="Times New Roman" w:eastAsia="宋体" w:cs="Times New Roman"/>
                <w:color w:val="auto"/>
                <w:sz w:val="21"/>
                <w:szCs w:val="21"/>
                <w:highlight w:val="none"/>
                <w:lang w:val="en-US" w:eastAsia="zh-CN"/>
              </w:rPr>
              <w:t>、一氯二溴甲烷、二氯一溴甲烷、三溴甲烷</w:t>
            </w:r>
            <w:r>
              <w:rPr>
                <w:rFonts w:hint="default" w:ascii="Times New Roman" w:hAnsi="Times New Roman" w:eastAsia="宋体" w:cs="Times New Roman"/>
                <w:snapToGrid w:val="0"/>
                <w:kern w:val="0"/>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rPr>
              <w:t>二氯乙酸、三氯乙酸、溴酸盐、亚氯酸盐、氯酸盐</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色度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浑浊度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臭和味</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肉眼可见物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lang w:val="en-US" w:eastAsia="zh-CN"/>
              </w:rPr>
              <w:t>值</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铝</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铁</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锰</w:t>
            </w:r>
            <w:r>
              <w:rPr>
                <w:rFonts w:hint="default" w:ascii="Times New Roman" w:hAnsi="Times New Roman" w:eastAsia="宋体" w:cs="Times New Roman"/>
                <w:sz w:val="21"/>
                <w:szCs w:val="21"/>
                <w:highlight w:val="none"/>
                <w:vertAlign w:val="baseline"/>
                <w:lang w:val="en-US" w:eastAsia="zh-CN"/>
              </w:rPr>
              <w:t>、铜</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氯化物</w:t>
            </w:r>
            <w:r>
              <w:rPr>
                <w:rFonts w:hint="default" w:ascii="Times New Roman" w:hAnsi="Times New Roman" w:eastAsia="宋体" w:cs="Times New Roman"/>
                <w:sz w:val="21"/>
                <w:szCs w:val="21"/>
                <w:highlight w:val="none"/>
                <w:vertAlign w:val="baseline"/>
                <w:lang w:val="en-US" w:eastAsia="zh-CN"/>
              </w:rPr>
              <w:t>、硫酸盐、</w:t>
            </w:r>
            <w:r>
              <w:rPr>
                <w:rFonts w:hint="default" w:ascii="Times New Roman" w:hAnsi="Times New Roman" w:eastAsia="宋体" w:cs="Times New Roman"/>
                <w:color w:val="auto"/>
                <w:sz w:val="21"/>
                <w:szCs w:val="21"/>
                <w:highlight w:val="none"/>
              </w:rPr>
              <w:t>溶解性总固体</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总硬度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Cs/>
                <w:color w:val="auto"/>
                <w:sz w:val="21"/>
                <w:szCs w:val="21"/>
                <w:highlight w:val="none"/>
              </w:rPr>
              <w:t>高锰酸盐指数（以O</w:t>
            </w:r>
            <w:r>
              <w:rPr>
                <w:rFonts w:hint="default" w:ascii="Times New Roman" w:hAnsi="Times New Roman" w:eastAsia="宋体" w:cs="Times New Roman"/>
                <w:bCs/>
                <w:color w:val="auto"/>
                <w:sz w:val="21"/>
                <w:szCs w:val="21"/>
                <w:highlight w:val="none"/>
                <w:vertAlign w:val="subscript"/>
              </w:rPr>
              <w:t>2</w:t>
            </w:r>
            <w:r>
              <w:rPr>
                <w:rFonts w:hint="default" w:ascii="Times New Roman" w:hAnsi="Times New Roman" w:eastAsia="宋体" w:cs="Times New Roman"/>
                <w:bCs/>
                <w:color w:val="auto"/>
                <w:sz w:val="21"/>
                <w:szCs w:val="21"/>
                <w:highlight w:val="none"/>
              </w:rPr>
              <w:t>计）</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color w:val="auto"/>
                <w:sz w:val="21"/>
                <w:szCs w:val="21"/>
                <w:highlight w:val="none"/>
              </w:rPr>
              <w:t>氨（以N计）</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总α放射性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总β放射性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游离氯、总氯、臭氧、二氧化氯</w:t>
            </w:r>
          </w:p>
        </w:tc>
        <w:tc>
          <w:tcPr>
            <w:tcW w:w="1147" w:type="pct"/>
            <w:vMerge w:val="restart"/>
            <w:tcBorders>
              <w:tl2br w:val="nil"/>
              <w:tr2bl w:val="nil"/>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监测</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天，</w:t>
            </w:r>
            <w:r>
              <w:rPr>
                <w:rFonts w:hint="default" w:ascii="Times New Roman" w:hAnsi="Times New Roman" w:eastAsia="宋体" w:cs="Times New Roman"/>
                <w:sz w:val="21"/>
                <w:szCs w:val="21"/>
                <w:highlight w:val="none"/>
                <w:lang w:eastAsia="zh-CN"/>
              </w:rPr>
              <w:t>监测</w:t>
            </w:r>
            <w:r>
              <w:rPr>
                <w:rFonts w:hint="default" w:ascii="Times New Roman" w:hAnsi="Times New Roman" w:eastAsia="宋体" w:cs="Times New Roman"/>
                <w:sz w:val="21"/>
                <w:szCs w:val="21"/>
                <w:highlight w:val="none"/>
                <w:lang w:val="en-US" w:eastAsia="zh-CN"/>
              </w:rPr>
              <w:t>1次</w:t>
            </w:r>
            <w:r>
              <w:rPr>
                <w:rFonts w:hint="default" w:ascii="Times New Roman" w:hAnsi="Times New Roman" w:eastAsia="宋体" w:cs="Times New Roman"/>
                <w:sz w:val="21"/>
                <w:szCs w:val="21"/>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15</w:t>
            </w:r>
          </w:p>
        </w:tc>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CN"/>
              </w:rPr>
              <w:t>红袍泵站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16</w:t>
            </w:r>
          </w:p>
        </w:tc>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CN"/>
              </w:rPr>
              <w:t>中海寰宇泵站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17</w:t>
            </w:r>
          </w:p>
        </w:tc>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CN"/>
              </w:rPr>
              <w:t>中粮二期泵站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18</w:t>
            </w:r>
          </w:p>
        </w:tc>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CN"/>
              </w:rPr>
              <w:t>八号院泵站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19</w:t>
            </w:r>
          </w:p>
        </w:tc>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CN"/>
              </w:rPr>
              <w:t>陵北北区泵站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20</w:t>
            </w:r>
          </w:p>
        </w:tc>
        <w:tc>
          <w:tcPr>
            <w:tcW w:w="0" w:type="auto"/>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CN"/>
              </w:rPr>
              <w:t>兴建泵站</w:t>
            </w:r>
          </w:p>
        </w:tc>
        <w:tc>
          <w:tcPr>
            <w:tcW w:w="2354" w:type="pct"/>
            <w:vMerge w:val="continue"/>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1147"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b/>
          <w:bCs/>
          <w:kern w:val="0"/>
          <w:sz w:val="28"/>
          <w:szCs w:val="28"/>
          <w:highlight w:val="none"/>
        </w:rPr>
      </w:pPr>
      <w:r>
        <w:rPr>
          <w:rFonts w:hint="eastAsia" w:ascii="Times New Roman" w:hAnsi="Times New Roman" w:eastAsia="宋体" w:cs="Times New Roman"/>
          <w:b/>
          <w:bCs/>
          <w:kern w:val="0"/>
          <w:sz w:val="28"/>
          <w:szCs w:val="28"/>
          <w:highlight w:val="none"/>
          <w:lang w:val="en-US" w:eastAsia="zh-CN"/>
        </w:rPr>
        <w:t>2、</w:t>
      </w:r>
      <w:r>
        <w:rPr>
          <w:rFonts w:hint="default" w:ascii="Times New Roman" w:hAnsi="Times New Roman" w:eastAsia="宋体" w:cs="Times New Roman"/>
          <w:b/>
          <w:bCs/>
          <w:kern w:val="0"/>
          <w:sz w:val="28"/>
          <w:szCs w:val="28"/>
          <w:highlight w:val="none"/>
        </w:rPr>
        <w:t>检测项目、标准方法及检测仪器</w:t>
      </w:r>
    </w:p>
    <w:p>
      <w:pPr>
        <w:keepNext w:val="0"/>
        <w:keepLines w:val="0"/>
        <w:pageBreakBefore w:val="0"/>
        <w:widowControl w:val="0"/>
        <w:kinsoku/>
        <w:wordWrap/>
        <w:overflowPunct/>
        <w:topLinePunct w:val="0"/>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000000"/>
          <w:kern w:val="0"/>
          <w:sz w:val="24"/>
          <w:szCs w:val="24"/>
          <w:highlight w:val="none"/>
          <w:lang w:val="en-US" w:eastAsia="zh-CN" w:bidi="ar"/>
        </w:rPr>
      </w:pPr>
      <w:r>
        <w:rPr>
          <w:rFonts w:hint="eastAsia" w:ascii="Times New Roman" w:hAnsi="Times New Roman" w:eastAsia="宋体" w:cs="Times New Roman"/>
          <w:b w:val="0"/>
          <w:bCs w:val="0"/>
          <w:color w:val="000000"/>
          <w:kern w:val="0"/>
          <w:sz w:val="24"/>
          <w:szCs w:val="24"/>
          <w:highlight w:val="none"/>
          <w:lang w:val="en-US" w:eastAsia="zh-CN" w:bidi="ar"/>
        </w:rPr>
        <w:t>检测方法主要依据《</w:t>
      </w:r>
      <w:r>
        <w:rPr>
          <w:rFonts w:hint="default" w:ascii="Times New Roman" w:hAnsi="Times New Roman" w:eastAsia="宋体" w:cs="Times New Roman"/>
          <w:b w:val="0"/>
          <w:bCs w:val="0"/>
          <w:color w:val="000000"/>
          <w:kern w:val="0"/>
          <w:sz w:val="24"/>
          <w:szCs w:val="24"/>
          <w:highlight w:val="none"/>
          <w:lang w:val="en-US" w:eastAsia="zh-CN" w:bidi="ar"/>
        </w:rPr>
        <w:t>生活饮用水标准检验方法</w:t>
      </w:r>
      <w:r>
        <w:rPr>
          <w:rFonts w:hint="eastAsia" w:ascii="Times New Roman" w:hAnsi="Times New Roman" w:eastAsia="宋体" w:cs="Times New Roman"/>
          <w:b w:val="0"/>
          <w:bCs w:val="0"/>
          <w:color w:val="000000"/>
          <w:kern w:val="0"/>
          <w:sz w:val="24"/>
          <w:szCs w:val="24"/>
          <w:highlight w:val="none"/>
          <w:lang w:val="en-US" w:eastAsia="zh-CN" w:bidi="ar"/>
        </w:rPr>
        <w:t>》（</w:t>
      </w:r>
      <w:r>
        <w:rPr>
          <w:rFonts w:hint="default" w:ascii="Times New Roman" w:hAnsi="Times New Roman" w:eastAsia="宋体" w:cs="Times New Roman"/>
          <w:b w:val="0"/>
          <w:bCs w:val="0"/>
          <w:color w:val="000000"/>
          <w:kern w:val="0"/>
          <w:sz w:val="24"/>
          <w:szCs w:val="24"/>
          <w:highlight w:val="none"/>
          <w:lang w:val="en-US" w:eastAsia="zh-CN" w:bidi="ar"/>
        </w:rPr>
        <w:t>GB/T 5750-2023</w:t>
      </w:r>
      <w:r>
        <w:rPr>
          <w:rFonts w:hint="eastAsia" w:ascii="Times New Roman" w:hAnsi="Times New Roman" w:eastAsia="宋体" w:cs="Times New Roman"/>
          <w:b w:val="0"/>
          <w:bCs w:val="0"/>
          <w:color w:val="000000"/>
          <w:kern w:val="0"/>
          <w:sz w:val="24"/>
          <w:szCs w:val="24"/>
          <w:highlight w:val="none"/>
          <w:lang w:val="en-US" w:eastAsia="zh-CN" w:bidi="ar"/>
        </w:rPr>
        <w:t>）开展，所用检测仪器均经检定/校准合格，并在有效期内，具体情况详见表2。</w:t>
      </w:r>
    </w:p>
    <w:tbl>
      <w:tblPr>
        <w:tblStyle w:val="15"/>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12"/>
        <w:gridCol w:w="713"/>
        <w:gridCol w:w="3253"/>
        <w:gridCol w:w="2470"/>
        <w:gridCol w:w="1104"/>
        <w:gridCol w:w="102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425" w:type="dxa"/>
            <w:gridSpan w:val="2"/>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检测项目</w:t>
            </w:r>
          </w:p>
        </w:tc>
        <w:tc>
          <w:tcPr>
            <w:tcW w:w="3253" w:type="dxa"/>
            <w:tcBorders>
              <w:tl2br w:val="nil"/>
              <w:tr2bl w:val="nil"/>
            </w:tcBorders>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检测标准（方法）</w:t>
            </w:r>
          </w:p>
        </w:tc>
        <w:tc>
          <w:tcPr>
            <w:tcW w:w="2470" w:type="dxa"/>
            <w:tcBorders>
              <w:tl2br w:val="nil"/>
              <w:tr2bl w:val="nil"/>
            </w:tcBorders>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分析仪器名称/型号/编号</w:t>
            </w:r>
          </w:p>
        </w:tc>
        <w:tc>
          <w:tcPr>
            <w:tcW w:w="1104" w:type="dxa"/>
            <w:tcBorders>
              <w:tl2br w:val="nil"/>
              <w:tr2bl w:val="nil"/>
            </w:tcBorders>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检出限</w:t>
            </w:r>
          </w:p>
        </w:tc>
        <w:tc>
          <w:tcPr>
            <w:tcW w:w="1027" w:type="dxa"/>
            <w:tcBorders>
              <w:tl2br w:val="nil"/>
              <w:tr2bl w:val="nil"/>
            </w:tcBorders>
            <w:noWrap w:val="0"/>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单位</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25" w:type="dxa"/>
            <w:gridSpan w:val="2"/>
            <w:tcBorders>
              <w:tl2br w:val="nil"/>
              <w:tr2bl w:val="nil"/>
            </w:tcBorders>
            <w:noWrap w:val="0"/>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总大肠菌群</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生活饮用水标准检验方法 第12部分：微生物指标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5750.12-2023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5.1 多管发酵法</w:t>
            </w:r>
          </w:p>
        </w:tc>
        <w:tc>
          <w:tcPr>
            <w:tcW w:w="24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生化培养箱</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sz w:val="21"/>
                <w:szCs w:val="21"/>
                <w:highlight w:val="none"/>
              </w:rPr>
              <w:t>LRH-150B   SYZZ-SB-005-02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w:t>
            </w:r>
          </w:p>
        </w:tc>
        <w:tc>
          <w:tcPr>
            <w:tcW w:w="1027" w:type="dxa"/>
            <w:tcBorders>
              <w:tl2br w:val="nil"/>
              <w:tr2bl w:val="nil"/>
            </w:tcBorders>
            <w:noWrap w:val="0"/>
            <w:vAlign w:val="center"/>
          </w:tcPr>
          <w:p>
            <w:pPr>
              <w:widowControl/>
              <w:spacing w:line="240" w:lineRule="auto"/>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MPN</w:t>
            </w:r>
          </w:p>
          <w:p>
            <w:pPr>
              <w:widowControl/>
              <w:spacing w:line="240" w:lineRule="auto"/>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/100m</w:t>
            </w:r>
            <w:r>
              <w:rPr>
                <w:rFonts w:hint="default" w:ascii="Times New Roman" w:hAnsi="Times New Roman" w:eastAsia="宋体" w:cs="Times New Roman"/>
                <w:color w:val="auto"/>
                <w:kern w:val="0"/>
                <w:sz w:val="21"/>
                <w:szCs w:val="21"/>
                <w:highlight w:val="none"/>
                <w:lang w:val="en-US" w:eastAsia="zh-CN" w:bidi="ar"/>
              </w:rPr>
              <w:t>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425" w:type="dxa"/>
            <w:gridSpan w:val="2"/>
            <w:tcBorders>
              <w:tl2br w:val="nil"/>
              <w:tr2bl w:val="nil"/>
            </w:tcBorders>
            <w:noWrap w:val="0"/>
            <w:vAlign w:val="center"/>
          </w:tcPr>
          <w:p>
            <w:pPr>
              <w:autoSpaceDN w:val="0"/>
              <w:spacing w:line="260" w:lineRule="exact"/>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color w:val="auto"/>
                <w:sz w:val="21"/>
                <w:szCs w:val="21"/>
                <w:highlight w:val="none"/>
              </w:rPr>
              <w:t>大肠埃希氏菌</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color w:val="auto"/>
                <w:sz w:val="21"/>
                <w:szCs w:val="21"/>
                <w:highlight w:val="none"/>
                <w:lang w:val="en-US" w:eastAsia="zh-CN"/>
              </w:rPr>
              <w:t>生活饮用水标准检验方法 第12部分：微生物指标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5750.12-2023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7.1 多管发酵法</w:t>
            </w:r>
          </w:p>
        </w:tc>
        <w:tc>
          <w:tcPr>
            <w:tcW w:w="24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生化培养箱</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sz w:val="21"/>
                <w:szCs w:val="21"/>
                <w:highlight w:val="none"/>
              </w:rPr>
              <w:t>LRH-150B   SYZZ-SB-005-02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w:t>
            </w:r>
          </w:p>
        </w:tc>
        <w:tc>
          <w:tcPr>
            <w:tcW w:w="1027" w:type="dxa"/>
            <w:tcBorders>
              <w:tl2br w:val="nil"/>
              <w:tr2bl w:val="nil"/>
            </w:tcBorders>
            <w:noWrap w:val="0"/>
            <w:vAlign w:val="center"/>
          </w:tcPr>
          <w:p>
            <w:pPr>
              <w:widowControl/>
              <w:spacing w:line="240" w:lineRule="auto"/>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MPN</w:t>
            </w:r>
          </w:p>
          <w:p>
            <w:pPr>
              <w:widowControl/>
              <w:spacing w:line="240" w:lineRule="auto"/>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/100m</w:t>
            </w:r>
            <w:r>
              <w:rPr>
                <w:rFonts w:hint="default" w:ascii="Times New Roman" w:hAnsi="Times New Roman" w:eastAsia="宋体" w:cs="Times New Roman"/>
                <w:color w:val="auto"/>
                <w:kern w:val="0"/>
                <w:sz w:val="21"/>
                <w:szCs w:val="21"/>
                <w:highlight w:val="none"/>
                <w:lang w:val="en-US" w:eastAsia="zh-CN" w:bidi="ar"/>
              </w:rPr>
              <w:t>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425" w:type="dxa"/>
            <w:gridSpan w:val="2"/>
            <w:tcBorders>
              <w:tl2br w:val="nil"/>
              <w:tr2bl w:val="nil"/>
            </w:tcBorders>
            <w:noWrap w:val="0"/>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菌落总数</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生活饮用水标准检验方法 第12部分：微生物指标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5750.12-2023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4.1 平皿计数法</w:t>
            </w:r>
          </w:p>
        </w:tc>
        <w:tc>
          <w:tcPr>
            <w:tcW w:w="24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生化培养箱</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sz w:val="21"/>
                <w:szCs w:val="21"/>
              </w:rPr>
              <w:t>LRH-150B   SYZZ-SB-005-02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w:t>
            </w:r>
          </w:p>
        </w:tc>
        <w:tc>
          <w:tcPr>
            <w:tcW w:w="1027" w:type="dxa"/>
            <w:tcBorders>
              <w:tl2br w:val="nil"/>
              <w:tr2bl w:val="nil"/>
            </w:tcBorders>
            <w:noWrap w:val="0"/>
            <w:vAlign w:val="center"/>
          </w:tcPr>
          <w:p>
            <w:pPr>
              <w:widowControl/>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CFU/mL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425" w:type="dxa"/>
            <w:gridSpan w:val="2"/>
            <w:tcBorders>
              <w:tl2br w:val="nil"/>
              <w:tr2bl w:val="nil"/>
            </w:tcBorders>
            <w:noWrap w:val="0"/>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砷</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9.1 氢化物原子荧光法</w:t>
            </w:r>
          </w:p>
        </w:tc>
        <w:tc>
          <w:tcPr>
            <w:tcW w:w="247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原子荧光光</w:t>
            </w:r>
            <w:r>
              <w:rPr>
                <w:rFonts w:hint="default" w:ascii="Times New Roman" w:hAnsi="Times New Roman" w:eastAsia="宋体" w:cs="Times New Roman"/>
                <w:color w:val="auto"/>
                <w:sz w:val="21"/>
                <w:szCs w:val="21"/>
                <w:highlight w:val="none"/>
                <w:lang w:val="en-US" w:eastAsia="zh-CN"/>
              </w:rPr>
              <w:t>度计</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AFS-8510</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SYZZ-SB-044-02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1.0</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i w:val="0"/>
                <w:snapToGrid/>
                <w:color w:val="auto"/>
                <w:sz w:val="21"/>
                <w:szCs w:val="21"/>
                <w:highlight w:val="none"/>
                <w:u w:val="none"/>
                <w:lang w:val="en-US" w:eastAsia="zh-CN"/>
              </w:rPr>
              <w:t>μ</w:t>
            </w:r>
            <w:r>
              <w:rPr>
                <w:rFonts w:hint="default" w:ascii="Times New Roman" w:hAnsi="Times New Roman" w:eastAsia="宋体" w:cs="Times New Roman"/>
                <w:b w:val="0"/>
                <w:i w:val="0"/>
                <w:snapToGrid/>
                <w:color w:val="auto"/>
                <w:sz w:val="21"/>
                <w:szCs w:val="21"/>
                <w:highlight w:val="none"/>
                <w:u w:val="none"/>
                <w:lang w:eastAsia="zh-CN"/>
              </w:rPr>
              <w:t>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425" w:type="dxa"/>
            <w:gridSpan w:val="2"/>
            <w:tcBorders>
              <w:tl2br w:val="nil"/>
              <w:tr2bl w:val="nil"/>
            </w:tcBorders>
            <w:noWrap w:val="0"/>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vertAlign w:val="baseline"/>
                <w:lang w:val="en-US" w:eastAsia="zh-CN"/>
              </w:rPr>
              <w:t>镉</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12.1 无火焰原子吸收分光光度法</w:t>
            </w:r>
          </w:p>
        </w:tc>
        <w:tc>
          <w:tcPr>
            <w:tcW w:w="247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原子吸收分光光度计</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GGX-830</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SYZZ-SB-029-02</w:t>
            </w:r>
          </w:p>
        </w:tc>
        <w:tc>
          <w:tcPr>
            <w:tcW w:w="110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0.5</w:t>
            </w:r>
          </w:p>
        </w:tc>
        <w:tc>
          <w:tcPr>
            <w:tcW w:w="10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425" w:type="dxa"/>
            <w:gridSpan w:val="2"/>
            <w:tcBorders>
              <w:tl2br w:val="nil"/>
              <w:tr2bl w:val="nil"/>
            </w:tcBorders>
            <w:noWrap w:val="0"/>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铬（六价）</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13.1 二苯碳酰二肼分光光度法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SYZZ-SB-028-02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0.004</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425" w:type="dxa"/>
            <w:gridSpan w:val="2"/>
            <w:tcBorders>
              <w:tl2br w:val="nil"/>
              <w:tr2bl w:val="nil"/>
            </w:tcBorders>
            <w:noWrap w:val="0"/>
            <w:vAlign w:val="center"/>
          </w:tcPr>
          <w:p>
            <w:pPr>
              <w:adjustRightInd w:val="0"/>
              <w:snapToGrid w:val="0"/>
              <w:spacing w:line="256"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铅</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14.1 无火焰原子吸收分光光度法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原子吸收分光光度计</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GGX-830</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SYZZ-SB-029-02</w:t>
            </w:r>
          </w:p>
        </w:tc>
        <w:tc>
          <w:tcPr>
            <w:tcW w:w="110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2.5</w:t>
            </w:r>
          </w:p>
        </w:tc>
        <w:tc>
          <w:tcPr>
            <w:tcW w:w="10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425" w:type="dxa"/>
            <w:gridSpan w:val="2"/>
            <w:tcBorders>
              <w:tl2br w:val="nil"/>
              <w:tr2bl w:val="nil"/>
            </w:tcBorders>
            <w:noWrap w:val="0"/>
            <w:vAlign w:val="center"/>
          </w:tcPr>
          <w:p>
            <w:pPr>
              <w:adjustRightInd w:val="0"/>
              <w:snapToGrid w:val="0"/>
              <w:spacing w:line="256"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汞</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11.1 原子荧光法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原子荧光光</w:t>
            </w:r>
            <w:r>
              <w:rPr>
                <w:rFonts w:hint="default" w:ascii="Times New Roman" w:hAnsi="Times New Roman" w:eastAsia="宋体" w:cs="Times New Roman"/>
                <w:color w:val="auto"/>
                <w:sz w:val="21"/>
                <w:szCs w:val="21"/>
                <w:highlight w:val="none"/>
                <w:lang w:val="en-US" w:eastAsia="zh-CN"/>
              </w:rPr>
              <w:t>度计</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AFS-8510</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SYZZ-SB-044-02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0.1</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i w:val="0"/>
                <w:snapToGrid/>
                <w:color w:val="auto"/>
                <w:sz w:val="21"/>
                <w:szCs w:val="21"/>
                <w:highlight w:val="none"/>
                <w:u w:val="none"/>
                <w:lang w:val="en-US" w:eastAsia="zh-CN"/>
              </w:rPr>
              <w:t>μ</w:t>
            </w:r>
            <w:r>
              <w:rPr>
                <w:rFonts w:hint="default" w:ascii="Times New Roman" w:hAnsi="Times New Roman" w:eastAsia="宋体" w:cs="Times New Roman"/>
                <w:b w:val="0"/>
                <w:i w:val="0"/>
                <w:snapToGrid/>
                <w:color w:val="auto"/>
                <w:sz w:val="21"/>
                <w:szCs w:val="21"/>
                <w:highlight w:val="none"/>
                <w:u w:val="none"/>
                <w:lang w:eastAsia="zh-CN"/>
              </w:rPr>
              <w:t>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1425" w:type="dxa"/>
            <w:gridSpan w:val="2"/>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color w:val="auto"/>
                <w:sz w:val="21"/>
                <w:szCs w:val="21"/>
                <w:highlight w:val="none"/>
              </w:rPr>
              <w:t>氰化物</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7.1 异烟酸-吡唑啉酮分光光度法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SYZZ-SB-028-02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0.002</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425" w:type="dxa"/>
            <w:gridSpan w:val="2"/>
            <w:tcBorders>
              <w:tl2br w:val="nil"/>
              <w:tr2bl w:val="nil"/>
            </w:tcBorders>
            <w:noWrap w:val="0"/>
            <w:vAlign w:val="center"/>
          </w:tcPr>
          <w:p>
            <w:pPr>
              <w:jc w:val="center"/>
              <w:rPr>
                <w:rFonts w:hint="default" w:ascii="Times New Roman" w:hAnsi="Times New Roman" w:eastAsia="宋体" w:cs="Times New Roman"/>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氟化物</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6.3 氟试剂分光光度法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SYZZ-SB-028-02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0.1</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w:t>
            </w:r>
          </w:p>
        </w:tc>
        <w:tc>
          <w:tcPr>
            <w:tcW w:w="1425" w:type="dxa"/>
            <w:gridSpan w:val="2"/>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硝酸盐</w:t>
            </w:r>
          </w:p>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（以</w:t>
            </w:r>
            <w:r>
              <w:rPr>
                <w:rFonts w:hint="default" w:ascii="Times New Roman" w:hAnsi="Times New Roman" w:eastAsia="宋体" w:cs="Times New Roman"/>
                <w:color w:val="auto"/>
                <w:sz w:val="21"/>
                <w:szCs w:val="21"/>
                <w:highlight w:val="none"/>
                <w:lang w:val="en-US" w:eastAsia="zh-CN"/>
              </w:rPr>
              <w:t>N计</w:t>
            </w:r>
            <w:r>
              <w:rPr>
                <w:rFonts w:hint="default" w:ascii="Times New Roman" w:hAnsi="Times New Roman" w:eastAsia="宋体" w:cs="Times New Roman"/>
                <w:color w:val="auto"/>
                <w:sz w:val="21"/>
                <w:szCs w:val="21"/>
                <w:highlight w:val="none"/>
                <w:lang w:eastAsia="zh-CN"/>
              </w:rPr>
              <w:t>）</w:t>
            </w:r>
          </w:p>
        </w:tc>
        <w:tc>
          <w:tcPr>
            <w:tcW w:w="3253"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8.2 紫外分光光度法</w:t>
            </w:r>
          </w:p>
        </w:tc>
        <w:tc>
          <w:tcPr>
            <w:tcW w:w="2470" w:type="dxa"/>
            <w:tcBorders>
              <w:tl2br w:val="nil"/>
              <w:tr2bl w:val="nil"/>
            </w:tcBorders>
            <w:noWrap w:val="0"/>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SYZZ-SB-028-02</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0.2</w:t>
            </w:r>
          </w:p>
        </w:tc>
        <w:tc>
          <w:tcPr>
            <w:tcW w:w="1027" w:type="dxa"/>
            <w:tcBorders>
              <w:tl2br w:val="nil"/>
              <w:tr2bl w:val="nil"/>
            </w:tcBorders>
            <w:noWrap w:val="0"/>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p>
        </w:tc>
        <w:tc>
          <w:tcPr>
            <w:tcW w:w="1425" w:type="dxa"/>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三氯甲烷</w:t>
            </w:r>
          </w:p>
        </w:tc>
        <w:tc>
          <w:tcPr>
            <w:tcW w:w="3253" w:type="dxa"/>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第10部分：消毒副产物指标</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GB/T 5750.10-2023</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4.2 吹扫捕集气相色谱质谱法</w:t>
            </w:r>
          </w:p>
        </w:tc>
        <w:tc>
          <w:tcPr>
            <w:tcW w:w="2470" w:type="dxa"/>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0.120</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i w:val="0"/>
                <w:snapToGrid/>
                <w:color w:val="auto"/>
                <w:sz w:val="21"/>
                <w:szCs w:val="21"/>
                <w:highlight w:val="none"/>
                <w:u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w:t>
            </w:r>
          </w:p>
        </w:tc>
        <w:tc>
          <w:tcPr>
            <w:tcW w:w="1425" w:type="dxa"/>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一氯二溴甲烷</w:t>
            </w:r>
          </w:p>
        </w:tc>
        <w:tc>
          <w:tcPr>
            <w:tcW w:w="3253" w:type="dxa"/>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第10部分：消毒副产物指标</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GB/T 5750.10-2023</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7.1 吹扫捕集气相色谱质谱法</w:t>
            </w:r>
          </w:p>
        </w:tc>
        <w:tc>
          <w:tcPr>
            <w:tcW w:w="2470" w:type="dxa"/>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0.251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i w:val="0"/>
                <w:snapToGrid/>
                <w:color w:val="auto"/>
                <w:sz w:val="21"/>
                <w:szCs w:val="21"/>
                <w:highlight w:val="none"/>
                <w:u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二氯一溴甲烷</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第10部分：消毒副产物指标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5750.10-2023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6.1 吹扫捕集气相色谱质谱法</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SYZZ-SB-071-04</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0.290</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i w:val="0"/>
                <w:snapToGrid/>
                <w:color w:val="auto"/>
                <w:sz w:val="21"/>
                <w:szCs w:val="21"/>
                <w:highlight w:val="none"/>
                <w:u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三溴甲烷</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第10部分：消毒副产物指标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5750.10-2023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5.1 吹扫捕集气相色谱质谱法</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autoSpaceDN w:val="0"/>
              <w:spacing w:line="28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SYZZ-SB-071-04</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0.251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i w:val="0"/>
                <w:snapToGrid/>
                <w:color w:val="auto"/>
                <w:sz w:val="21"/>
                <w:szCs w:val="21"/>
                <w:highlight w:val="none"/>
                <w:u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vMerge w:val="restart"/>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c>
          <w:tcPr>
            <w:tcW w:w="712"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napToGrid w:val="0"/>
                <w:kern w:val="0"/>
                <w:sz w:val="21"/>
                <w:szCs w:val="21"/>
                <w:highlight w:val="none"/>
                <w:lang w:val="en-US" w:eastAsia="zh-CN" w:bidi="ar-SA"/>
              </w:rPr>
              <w:t>三卤甲烷</w:t>
            </w:r>
          </w:p>
        </w:tc>
        <w:tc>
          <w:tcPr>
            <w:tcW w:w="713" w:type="dxa"/>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三氯甲烷</w:t>
            </w:r>
          </w:p>
        </w:tc>
        <w:tc>
          <w:tcPr>
            <w:tcW w:w="3253"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第10部分：消毒副产物指标</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GB/T 5750.10-2023</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4.2 吹扫捕集气相色谱质谱法</w:t>
            </w:r>
          </w:p>
        </w:tc>
        <w:tc>
          <w:tcPr>
            <w:tcW w:w="2470"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0.120</w:t>
            </w:r>
          </w:p>
        </w:tc>
        <w:tc>
          <w:tcPr>
            <w:tcW w:w="102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vMerge w:val="continue"/>
            <w:tcBorders>
              <w:tl2br w:val="nil"/>
              <w:tr2bl w:val="nil"/>
            </w:tcBorders>
            <w:vAlign w:val="center"/>
          </w:tcPr>
          <w:p>
            <w:pPr>
              <w:jc w:val="center"/>
              <w:rPr>
                <w:rFonts w:hint="default" w:ascii="Times New Roman" w:hAnsi="Times New Roman" w:eastAsia="宋体" w:cs="Times New Roman"/>
                <w:sz w:val="21"/>
                <w:szCs w:val="21"/>
                <w:lang w:val="en-US" w:eastAsia="zh-CN"/>
              </w:rPr>
            </w:pPr>
          </w:p>
        </w:tc>
        <w:tc>
          <w:tcPr>
            <w:tcW w:w="712" w:type="dxa"/>
            <w:vMerge w:val="continue"/>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p>
        </w:tc>
        <w:tc>
          <w:tcPr>
            <w:tcW w:w="713" w:type="dxa"/>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一氯二溴甲烷</w:t>
            </w:r>
          </w:p>
        </w:tc>
        <w:tc>
          <w:tcPr>
            <w:tcW w:w="3253"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第10部分：消毒副产物指标</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GB/T 5750.10-2023</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7.1 吹扫捕集气相色谱质谱法</w:t>
            </w:r>
          </w:p>
        </w:tc>
        <w:tc>
          <w:tcPr>
            <w:tcW w:w="2470"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0.251</w:t>
            </w:r>
          </w:p>
        </w:tc>
        <w:tc>
          <w:tcPr>
            <w:tcW w:w="102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vMerge w:val="continue"/>
            <w:tcBorders>
              <w:tl2br w:val="nil"/>
              <w:tr2bl w:val="nil"/>
            </w:tcBorders>
            <w:vAlign w:val="center"/>
          </w:tcPr>
          <w:p>
            <w:pPr>
              <w:jc w:val="center"/>
              <w:rPr>
                <w:rFonts w:hint="default" w:ascii="Times New Roman" w:hAnsi="Times New Roman" w:eastAsia="宋体" w:cs="Times New Roman"/>
                <w:sz w:val="21"/>
                <w:szCs w:val="21"/>
                <w:lang w:val="en-US" w:eastAsia="zh-CN"/>
              </w:rPr>
            </w:pPr>
          </w:p>
        </w:tc>
        <w:tc>
          <w:tcPr>
            <w:tcW w:w="712" w:type="dxa"/>
            <w:vMerge w:val="continue"/>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p>
        </w:tc>
        <w:tc>
          <w:tcPr>
            <w:tcW w:w="713" w:type="dxa"/>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二氯一溴甲烷</w:t>
            </w:r>
          </w:p>
        </w:tc>
        <w:tc>
          <w:tcPr>
            <w:tcW w:w="3253"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第10部分：消毒副产物指标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5750.10-2023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6.1 吹扫捕集气相色谱质谱法</w:t>
            </w:r>
          </w:p>
        </w:tc>
        <w:tc>
          <w:tcPr>
            <w:tcW w:w="2470"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0.290</w:t>
            </w:r>
          </w:p>
        </w:tc>
        <w:tc>
          <w:tcPr>
            <w:tcW w:w="102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vMerge w:val="continue"/>
            <w:tcBorders>
              <w:tl2br w:val="nil"/>
              <w:tr2bl w:val="nil"/>
            </w:tcBorders>
            <w:vAlign w:val="center"/>
          </w:tcPr>
          <w:p>
            <w:pPr>
              <w:jc w:val="center"/>
              <w:rPr>
                <w:rFonts w:hint="default" w:ascii="Times New Roman" w:hAnsi="Times New Roman" w:eastAsia="宋体" w:cs="Times New Roman"/>
                <w:sz w:val="21"/>
                <w:szCs w:val="21"/>
                <w:lang w:val="en-US" w:eastAsia="zh-CN"/>
              </w:rPr>
            </w:pPr>
          </w:p>
        </w:tc>
        <w:tc>
          <w:tcPr>
            <w:tcW w:w="712" w:type="dxa"/>
            <w:vMerge w:val="continue"/>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p>
        </w:tc>
        <w:tc>
          <w:tcPr>
            <w:tcW w:w="713" w:type="dxa"/>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三溴甲烷</w:t>
            </w:r>
          </w:p>
        </w:tc>
        <w:tc>
          <w:tcPr>
            <w:tcW w:w="3253"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第10部分：消毒副产物指标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5750.10-2023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5.1 吹扫捕集气相色谱质谱法</w:t>
            </w:r>
          </w:p>
        </w:tc>
        <w:tc>
          <w:tcPr>
            <w:tcW w:w="2470" w:type="dxa"/>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气相色谱质谱仪GCMS-QP2010 SE</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SYZZ-SB-071-04</w:t>
            </w:r>
          </w:p>
        </w:tc>
        <w:tc>
          <w:tcPr>
            <w:tcW w:w="1104"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0.251</w:t>
            </w:r>
          </w:p>
        </w:tc>
        <w:tc>
          <w:tcPr>
            <w:tcW w:w="1027" w:type="dxa"/>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7" w:type="dxa"/>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二氯乙酸</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第10部分：消毒副产物指标</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5750.10-2023</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15.1 液液萃取衍生气相色谱法</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气相色谱仪</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GC-9790Plus</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SYZZ-SB-030-03</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18</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三氯乙酸</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第10部分：消毒副产物指标</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5750.10-2023</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16.1 液液萃取衍生气相色谱法</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气相色谱仪</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GC-9790Plus</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SYZZ-SB-030-03</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1.0</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溴酸盐</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第10部分：消毒副产物指标</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5750.10-2023</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22.1 离子色谱法-氢氧根系统淋洗液</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离子色谱仪</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CIC-D120</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SYZZ-SB-032-02</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sz w:val="21"/>
                <w:szCs w:val="21"/>
                <w:highlight w:val="none"/>
                <w:lang w:val="en-US" w:eastAsia="zh-CN" w:bidi="ar"/>
              </w:rPr>
              <w:t>5</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sz w:val="21"/>
                <w:szCs w:val="21"/>
                <w:highlight w:val="none"/>
                <w:lang w:eastAsia="zh-CN"/>
              </w:rPr>
              <w:t>μg/L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亚氯酸盐</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第10部分：消毒副产物指标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5750.10-2023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20.1 碘量法</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5mL</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微量滴定管（棕）SYZZ-SB-141-01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0.04</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21</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氯酸盐</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第10部分：消毒副产物指标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5750.10-2023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21.1 碘量法</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5mL</w:t>
            </w:r>
          </w:p>
          <w:p>
            <w:pPr>
              <w:keepNext w:val="0"/>
              <w:keepLines w:val="0"/>
              <w:pageBreakBefore w:val="0"/>
              <w:kinsoku/>
              <w:wordWrap/>
              <w:overflowPunct/>
              <w:topLinePunct w:val="0"/>
              <w:autoSpaceDE/>
              <w:autoSpaceDN w:val="0"/>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微量滴定管（棕）SYZZ-SB-141-01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0.23</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sz w:val="21"/>
                <w:szCs w:val="21"/>
                <w:highlight w:val="none"/>
                <w:u w:val="none"/>
                <w:lang w:val="en-US" w:eastAsia="zh-CN" w:bidi="ar-SA"/>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色度</w:t>
            </w:r>
          </w:p>
        </w:tc>
        <w:tc>
          <w:tcPr>
            <w:tcW w:w="0" w:type="auto"/>
            <w:tcBorders>
              <w:tl2br w:val="nil"/>
              <w:tr2bl w:val="nil"/>
            </w:tcBorders>
            <w:vAlign w:val="center"/>
          </w:tcPr>
          <w:p>
            <w:pPr>
              <w:keepNext w:val="0"/>
              <w:keepLines w:val="0"/>
              <w:pageBreakBefore w:val="0"/>
              <w:kinsoku/>
              <w:wordWrap/>
              <w:overflowPunct/>
              <w:topLinePunct w:val="0"/>
              <w:autoSpaceDE/>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keepNext w:val="0"/>
              <w:keepLines w:val="0"/>
              <w:pageBreakBefore w:val="0"/>
              <w:kinsoku/>
              <w:wordWrap/>
              <w:overflowPunct/>
              <w:topLinePunct w:val="0"/>
              <w:autoSpaceDE/>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keepNext w:val="0"/>
              <w:keepLines w:val="0"/>
              <w:pageBreakBefore w:val="0"/>
              <w:kinsoku/>
              <w:wordWrap/>
              <w:overflowPunct/>
              <w:topLinePunct w:val="0"/>
              <w:autoSpaceDE/>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4.1 铂-钴标准比色法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autoSpaceDE/>
              <w:bidi w:val="0"/>
              <w:adjustRightInd/>
              <w:snapToGrid/>
              <w:spacing w:line="300" w:lineRule="exact"/>
              <w:ind w:right="0" w:rightChars="0"/>
              <w:jc w:val="center"/>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50ml比色管</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val="en-US" w:eastAsia="zh-CN"/>
              </w:rPr>
              <w:t>5</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度</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浑浊度</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5.1 散射法-福尔马肼标准</w:t>
            </w:r>
          </w:p>
        </w:tc>
        <w:tc>
          <w:tcPr>
            <w:tcW w:w="0" w:type="auto"/>
            <w:tcBorders>
              <w:tl2br w:val="nil"/>
              <w:tr2bl w:val="nil"/>
            </w:tcBorders>
            <w:vAlign w:val="center"/>
          </w:tcPr>
          <w:p>
            <w:pPr>
              <w:widowControl/>
              <w:spacing w:line="28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浊度计</w:t>
            </w:r>
          </w:p>
          <w:p>
            <w:pPr>
              <w:widowControl/>
              <w:spacing w:line="28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WGZ-200AS</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SYZZ-SB-113-01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NTU</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24</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臭和味</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6.1 嗅气和尝味法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250ml锥形瓶</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肉眼可见物</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7.1 直接观察法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highlight w:val="none"/>
                <w:vertAlign w:val="baseline"/>
                <w:lang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26</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lang w:val="en-US" w:eastAsia="zh-CN"/>
              </w:rPr>
              <w:t>值</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8.1 玻璃电极法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多参数分析仪</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DZB-718</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SYZZ-SB-114-(01-02)</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无量纲</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27</w:t>
            </w:r>
          </w:p>
        </w:tc>
        <w:tc>
          <w:tcPr>
            <w:tcW w:w="0" w:type="auto"/>
            <w:gridSpan w:val="2"/>
            <w:tcBorders>
              <w:tl2br w:val="nil"/>
              <w:tr2bl w:val="nil"/>
            </w:tcBorders>
            <w:vAlign w:val="center"/>
          </w:tcPr>
          <w:p>
            <w:pPr>
              <w:adjustRightInd w:val="0"/>
              <w:snapToGrid w:val="0"/>
              <w:spacing w:line="256" w:lineRule="exact"/>
              <w:jc w:val="center"/>
              <w:rPr>
                <w:rFonts w:hint="default" w:ascii="Times New Roman" w:hAnsi="Times New Roman" w:eastAsia="宋体" w:cs="Times New Roman"/>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铝</w:t>
            </w:r>
          </w:p>
        </w:tc>
        <w:tc>
          <w:tcPr>
            <w:tcW w:w="0" w:type="auto"/>
            <w:tcBorders>
              <w:tl2br w:val="nil"/>
              <w:tr2bl w:val="nil"/>
            </w:tcBorders>
            <w:vAlign w:val="center"/>
          </w:tcPr>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60" w:lineRule="exact"/>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4.1 铬天青S分光光度法</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rPr>
              <w:t>SYZZ-SB-028-02</w:t>
            </w:r>
          </w:p>
        </w:tc>
        <w:tc>
          <w:tcPr>
            <w:tcW w:w="0" w:type="auto"/>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0.008</w:t>
            </w:r>
          </w:p>
        </w:tc>
        <w:tc>
          <w:tcPr>
            <w:tcW w:w="0" w:type="auto"/>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28</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color w:val="auto"/>
                <w:sz w:val="21"/>
                <w:szCs w:val="21"/>
                <w:highlight w:val="none"/>
              </w:rPr>
              <w:t>铁</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5.1 火焰原子吸收分光光度法</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原子吸收分光光度计</w:t>
            </w:r>
          </w:p>
          <w:p>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AA-7003</w:t>
            </w:r>
          </w:p>
          <w:p>
            <w:pPr>
              <w:widowControl/>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kern w:val="0"/>
                <w:sz w:val="21"/>
                <w:szCs w:val="21"/>
                <w:highlight w:val="none"/>
              </w:rPr>
              <w:t>SYZZ-SB-029-01</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3</w:t>
            </w:r>
          </w:p>
        </w:tc>
        <w:tc>
          <w:tcPr>
            <w:tcW w:w="0" w:type="auto"/>
            <w:tcBorders>
              <w:tl2br w:val="nil"/>
              <w:tr2bl w:val="nil"/>
            </w:tcBorders>
            <w:vAlign w:val="center"/>
          </w:tcPr>
          <w:p>
            <w:pPr>
              <w:autoSpaceDN w:val="0"/>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29</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color w:val="auto"/>
                <w:sz w:val="21"/>
                <w:szCs w:val="21"/>
                <w:highlight w:val="none"/>
              </w:rPr>
              <w:t>锰</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6.1 火焰原子吸收分光光度法</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原子吸收分光光度计</w:t>
            </w:r>
          </w:p>
          <w:p>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AA-7003</w:t>
            </w:r>
          </w:p>
          <w:p>
            <w:pPr>
              <w:widowControl/>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kern w:val="0"/>
                <w:sz w:val="21"/>
                <w:szCs w:val="21"/>
                <w:highlight w:val="none"/>
              </w:rPr>
              <w:t>SYZZ-SB-029-01</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1</w:t>
            </w:r>
          </w:p>
        </w:tc>
        <w:tc>
          <w:tcPr>
            <w:tcW w:w="0" w:type="auto"/>
            <w:tcBorders>
              <w:tl2br w:val="nil"/>
              <w:tr2bl w:val="nil"/>
            </w:tcBorders>
            <w:vAlign w:val="center"/>
          </w:tcPr>
          <w:p>
            <w:pPr>
              <w:autoSpaceDN w:val="0"/>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c>
          <w:tcPr>
            <w:tcW w:w="0" w:type="auto"/>
            <w:gridSpan w:val="2"/>
            <w:tcBorders>
              <w:tl2br w:val="nil"/>
              <w:tr2bl w:val="nil"/>
            </w:tcBorders>
            <w:vAlign w:val="center"/>
          </w:tcPr>
          <w:p>
            <w:pPr>
              <w:jc w:val="center"/>
              <w:rPr>
                <w:rFonts w:hint="default" w:ascii="Times New Roman" w:hAnsi="Times New Roman" w:eastAsia="宋体" w:cs="Times New Roman"/>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铜</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7.2 火焰原子吸收分光光度法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原子吸收分光光度计</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AA-700</w:t>
            </w:r>
            <w:r>
              <w:rPr>
                <w:rFonts w:hint="default" w:ascii="Times New Roman" w:hAnsi="Times New Roman" w:eastAsia="宋体" w:cs="Times New Roman"/>
                <w:color w:val="auto"/>
                <w:sz w:val="21"/>
                <w:szCs w:val="21"/>
                <w:highlight w:val="none"/>
                <w:lang w:val="en-US" w:eastAsia="zh-CN"/>
              </w:rPr>
              <w:t>3</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rPr>
              <w:t>S</w:t>
            </w:r>
            <w:r>
              <w:rPr>
                <w:rFonts w:hint="default" w:ascii="Times New Roman" w:hAnsi="Times New Roman" w:eastAsia="宋体" w:cs="Times New Roman"/>
                <w:color w:val="auto"/>
                <w:sz w:val="21"/>
                <w:szCs w:val="21"/>
                <w:highlight w:val="none"/>
                <w:lang w:val="en-US" w:eastAsia="zh-CN"/>
              </w:rPr>
              <w:t>YZZ-SB-029-01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0.2</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31</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锌</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第6部分：金属和类金属指标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5750.6-2023</w:t>
            </w:r>
          </w:p>
          <w:p>
            <w:pPr>
              <w:autoSpaceDN w:val="0"/>
              <w:spacing w:line="280" w:lineRule="exact"/>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8.1 火焰原子吸收分光光度法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原子吸收分光光度计</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AA-700</w:t>
            </w:r>
            <w:r>
              <w:rPr>
                <w:rFonts w:hint="default" w:ascii="Times New Roman" w:hAnsi="Times New Roman" w:eastAsia="宋体" w:cs="Times New Roman"/>
                <w:color w:val="auto"/>
                <w:sz w:val="21"/>
                <w:szCs w:val="21"/>
                <w:highlight w:val="none"/>
                <w:lang w:val="en-US" w:eastAsia="zh-CN"/>
              </w:rPr>
              <w:t>3</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rPr>
              <w:t>S</w:t>
            </w:r>
            <w:r>
              <w:rPr>
                <w:rFonts w:hint="default" w:ascii="Times New Roman" w:hAnsi="Times New Roman" w:eastAsia="宋体" w:cs="Times New Roman"/>
                <w:color w:val="auto"/>
                <w:sz w:val="21"/>
                <w:szCs w:val="21"/>
                <w:highlight w:val="none"/>
                <w:lang w:val="en-US" w:eastAsia="zh-CN"/>
              </w:rPr>
              <w:t>YZZ-SB-029-01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0.05</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32</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color w:val="auto"/>
                <w:sz w:val="21"/>
                <w:szCs w:val="21"/>
                <w:highlight w:val="none"/>
              </w:rPr>
              <w:t>氯化物</w:t>
            </w:r>
          </w:p>
        </w:tc>
        <w:tc>
          <w:tcPr>
            <w:tcW w:w="0" w:type="auto"/>
            <w:tcBorders>
              <w:tl2br w:val="nil"/>
              <w:tr2bl w:val="nil"/>
            </w:tcBorders>
            <w:vAlign w:val="center"/>
          </w:tcPr>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autoSpaceDN w:val="0"/>
              <w:spacing w:line="260" w:lineRule="exact"/>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5.1 硝酸银容量法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酸式滴定管（棕）</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25mL</w:t>
            </w:r>
          </w:p>
          <w:p>
            <w:pPr>
              <w:widowControl/>
              <w:spacing w:line="280" w:lineRule="exact"/>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SYZZ-SB-127-04</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sz w:val="21"/>
                <w:szCs w:val="21"/>
                <w:highlight w:val="none"/>
              </w:rPr>
              <w:t>1.0</w:t>
            </w:r>
          </w:p>
        </w:tc>
        <w:tc>
          <w:tcPr>
            <w:tcW w:w="0" w:type="auto"/>
            <w:tcBorders>
              <w:tl2br w:val="nil"/>
              <w:tr2bl w:val="nil"/>
            </w:tcBorders>
            <w:vAlign w:val="center"/>
          </w:tcPr>
          <w:p>
            <w:pPr>
              <w:autoSpaceDN w:val="0"/>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33</w:t>
            </w:r>
          </w:p>
        </w:tc>
        <w:tc>
          <w:tcPr>
            <w:tcW w:w="0" w:type="auto"/>
            <w:gridSpan w:val="2"/>
            <w:tcBorders>
              <w:tl2br w:val="nil"/>
              <w:tr2bl w:val="nil"/>
            </w:tcBorders>
            <w:vAlign w:val="center"/>
          </w:tcPr>
          <w:p>
            <w:pPr>
              <w:jc w:val="center"/>
              <w:rPr>
                <w:rFonts w:hint="default" w:ascii="Times New Roman" w:hAnsi="Times New Roman" w:eastAsia="宋体" w:cs="Times New Roman"/>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硫酸盐</w:t>
            </w:r>
          </w:p>
        </w:tc>
        <w:tc>
          <w:tcPr>
            <w:tcW w:w="0" w:type="auto"/>
            <w:tcBorders>
              <w:tl2br w:val="nil"/>
              <w:tr2bl w:val="nil"/>
            </w:tcBorders>
            <w:vAlign w:val="center"/>
          </w:tcPr>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4.3 铬酸钡分光光度法 （热法）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紫外可见分光光度计</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T6新世纪</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SYZZ-SB-028-02</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34</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溶解性总固体</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keepNext w:val="0"/>
              <w:keepLines w:val="0"/>
              <w:pageBreakBefore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11.1 称重法</w:t>
            </w:r>
          </w:p>
        </w:tc>
        <w:tc>
          <w:tcPr>
            <w:tcW w:w="0" w:type="auto"/>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电子天平</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BSA124S</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vertAlign w:val="baseline"/>
              </w:rPr>
              <w:t>SY</w:t>
            </w:r>
            <w:r>
              <w:rPr>
                <w:rFonts w:hint="default" w:ascii="Times New Roman" w:hAnsi="Times New Roman" w:eastAsia="宋体" w:cs="Times New Roman"/>
                <w:color w:val="auto"/>
                <w:sz w:val="21"/>
                <w:szCs w:val="21"/>
                <w:highlight w:val="none"/>
                <w:vertAlign w:val="baseline"/>
                <w:lang w:val="en-US" w:eastAsia="zh-CN"/>
              </w:rPr>
              <w:t>ZZ</w:t>
            </w:r>
            <w:r>
              <w:rPr>
                <w:rFonts w:hint="default" w:ascii="Times New Roman" w:hAnsi="Times New Roman" w:eastAsia="宋体" w:cs="Times New Roman"/>
                <w:color w:val="auto"/>
                <w:sz w:val="21"/>
                <w:szCs w:val="21"/>
                <w:highlight w:val="none"/>
                <w:vertAlign w:val="baseline"/>
              </w:rPr>
              <w:t>-SB-0</w:t>
            </w:r>
            <w:r>
              <w:rPr>
                <w:rFonts w:hint="default" w:ascii="Times New Roman" w:hAnsi="Times New Roman" w:eastAsia="宋体" w:cs="Times New Roman"/>
                <w:color w:val="auto"/>
                <w:sz w:val="21"/>
                <w:szCs w:val="21"/>
                <w:highlight w:val="none"/>
                <w:vertAlign w:val="baseline"/>
                <w:lang w:val="en-US" w:eastAsia="zh-CN"/>
              </w:rPr>
              <w:t>07-01</w:t>
            </w:r>
          </w:p>
        </w:tc>
        <w:tc>
          <w:tcPr>
            <w:tcW w:w="0" w:type="auto"/>
            <w:tcBorders>
              <w:tl2br w:val="nil"/>
              <w:tr2bl w:val="nil"/>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w:t>
            </w:r>
          </w:p>
        </w:tc>
        <w:tc>
          <w:tcPr>
            <w:tcW w:w="0" w:type="auto"/>
            <w:tcBorders>
              <w:tl2br w:val="nil"/>
              <w:tr2bl w:val="nil"/>
            </w:tcBorders>
            <w:vAlign w:val="center"/>
          </w:tcPr>
          <w:p>
            <w:pPr>
              <w:kinsoku/>
              <w:autoSpaceDE/>
              <w:autoSpaceDN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color w:val="auto"/>
                <w:sz w:val="21"/>
                <w:szCs w:val="21"/>
                <w:highlight w:val="none"/>
              </w:rPr>
              <w:t>总硬度</w:t>
            </w:r>
          </w:p>
        </w:tc>
        <w:tc>
          <w:tcPr>
            <w:tcW w:w="0" w:type="auto"/>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第4部分：感官性状和物理指标</w:t>
            </w:r>
          </w:p>
          <w:p>
            <w:pPr>
              <w:adjustRightInd w:val="0"/>
              <w:snapToGrid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5750.4-2023</w:t>
            </w:r>
          </w:p>
          <w:p>
            <w:pPr>
              <w:adjustRightInd w:val="0"/>
              <w:snapToGrid w:val="0"/>
              <w:spacing w:line="280" w:lineRule="exact"/>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10.1 乙二胺四乙酸二钠滴定法</w:t>
            </w:r>
          </w:p>
        </w:tc>
        <w:tc>
          <w:tcPr>
            <w:tcW w:w="0" w:type="auto"/>
            <w:tcBorders>
              <w:tl2br w:val="nil"/>
              <w:tr2bl w:val="nil"/>
            </w:tcBorders>
            <w:vAlign w:val="center"/>
          </w:tcPr>
          <w:p>
            <w:pPr>
              <w:keepNext w:val="0"/>
              <w:keepLines w:val="0"/>
              <w:pageBreakBefore w:val="0"/>
              <w:kinsoku/>
              <w:wordWrap/>
              <w:overflowPunct/>
              <w:topLinePunct w:val="0"/>
              <w:bidi w:val="0"/>
              <w:adjustRightInd w:val="0"/>
              <w:snapToGrid w:val="0"/>
              <w:spacing w:line="280" w:lineRule="exact"/>
              <w:jc w:val="center"/>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酸式滴定管</w:t>
            </w:r>
          </w:p>
          <w:p>
            <w:pPr>
              <w:keepNext w:val="0"/>
              <w:keepLines w:val="0"/>
              <w:pageBreakBefore w:val="0"/>
              <w:kinsoku/>
              <w:wordWrap/>
              <w:overflowPunct/>
              <w:topLinePunct w:val="0"/>
              <w:bidi w:val="0"/>
              <w:adjustRightInd w:val="0"/>
              <w:snapToGrid w:val="0"/>
              <w:spacing w:line="280" w:lineRule="exact"/>
              <w:jc w:val="center"/>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25mL</w:t>
            </w:r>
          </w:p>
          <w:p>
            <w:pPr>
              <w:keepNext w:val="0"/>
              <w:keepLines w:val="0"/>
              <w:pageBreakBefore w:val="0"/>
              <w:kinsoku/>
              <w:wordWrap/>
              <w:overflowPunct/>
              <w:topLinePunct w:val="0"/>
              <w:bidi w:val="0"/>
              <w:adjustRightInd w:val="0"/>
              <w:snapToGrid w:val="0"/>
              <w:spacing w:line="280" w:lineRule="exact"/>
              <w:jc w:val="center"/>
              <w:outlineLvl w:val="9"/>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b w:val="0"/>
                <w:bCs w:val="0"/>
                <w:color w:val="auto"/>
                <w:sz w:val="21"/>
                <w:szCs w:val="21"/>
                <w:highlight w:val="none"/>
                <w:lang w:val="en-US" w:eastAsia="zh-CN"/>
              </w:rPr>
              <w:t>SYZZ-SB-127-01</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000000"/>
                <w:sz w:val="21"/>
                <w:szCs w:val="21"/>
                <w:highlight w:val="none"/>
                <w:lang w:bidi="ar"/>
              </w:rPr>
              <w:t>1.0</w:t>
            </w:r>
          </w:p>
        </w:tc>
        <w:tc>
          <w:tcPr>
            <w:tcW w:w="0" w:type="auto"/>
            <w:tcBorders>
              <w:tl2br w:val="nil"/>
              <w:tr2bl w:val="nil"/>
            </w:tcBorders>
            <w:vAlign w:val="center"/>
          </w:tcPr>
          <w:p>
            <w:pPr>
              <w:autoSpaceDN w:val="0"/>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00000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w:t>
            </w:r>
          </w:p>
        </w:tc>
        <w:tc>
          <w:tcPr>
            <w:tcW w:w="0" w:type="auto"/>
            <w:gridSpan w:val="2"/>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bCs/>
                <w:color w:val="auto"/>
                <w:sz w:val="21"/>
                <w:szCs w:val="21"/>
                <w:highlight w:val="none"/>
              </w:rPr>
              <w:t>高锰酸盐指数（以O</w:t>
            </w:r>
            <w:r>
              <w:rPr>
                <w:rFonts w:hint="default" w:ascii="Times New Roman" w:hAnsi="Times New Roman" w:eastAsia="宋体" w:cs="Times New Roman"/>
                <w:bCs/>
                <w:color w:val="auto"/>
                <w:sz w:val="21"/>
                <w:szCs w:val="21"/>
                <w:highlight w:val="none"/>
                <w:vertAlign w:val="subscript"/>
              </w:rPr>
              <w:t>2</w:t>
            </w:r>
            <w:r>
              <w:rPr>
                <w:rFonts w:hint="default" w:ascii="Times New Roman" w:hAnsi="Times New Roman" w:eastAsia="宋体" w:cs="Times New Roman"/>
                <w:bCs/>
                <w:color w:val="auto"/>
                <w:sz w:val="21"/>
                <w:szCs w:val="21"/>
                <w:highlight w:val="none"/>
              </w:rPr>
              <w:t>计）</w:t>
            </w:r>
          </w:p>
        </w:tc>
        <w:tc>
          <w:tcPr>
            <w:tcW w:w="0" w:type="auto"/>
            <w:tcBorders>
              <w:tl2br w:val="nil"/>
              <w:tr2bl w:val="nil"/>
            </w:tcBorders>
            <w:vAlign w:val="center"/>
          </w:tcPr>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第7部分：有机物综合指标</w:t>
            </w:r>
          </w:p>
          <w:p>
            <w:pPr>
              <w:autoSpaceDN w:val="0"/>
              <w:spacing w:line="28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5750.7-2023</w:t>
            </w:r>
          </w:p>
          <w:p>
            <w:pPr>
              <w:autoSpaceDN w:val="0"/>
              <w:spacing w:line="280" w:lineRule="exact"/>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4.1 酸性高锰酸钾滴定法</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酸式滴定管（棕）</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25mL</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SYZZ-SB-127-04</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0.05</w:t>
            </w:r>
          </w:p>
        </w:tc>
        <w:tc>
          <w:tcPr>
            <w:tcW w:w="0" w:type="auto"/>
            <w:tcBorders>
              <w:tl2br w:val="nil"/>
              <w:tr2bl w:val="nil"/>
            </w:tcBorders>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b w:val="0"/>
                <w:i w:val="0"/>
                <w:snapToGrid/>
                <w:color w:val="auto"/>
                <w:sz w:val="21"/>
                <w:szCs w:val="21"/>
                <w:highlight w:val="none"/>
                <w:u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w:t>
            </w:r>
          </w:p>
        </w:tc>
        <w:tc>
          <w:tcPr>
            <w:tcW w:w="0" w:type="auto"/>
            <w:gridSpan w:val="2"/>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color w:val="auto"/>
                <w:sz w:val="21"/>
                <w:szCs w:val="21"/>
                <w:highlight w:val="none"/>
              </w:rPr>
              <w:t>氨（以N计）</w:t>
            </w:r>
          </w:p>
        </w:tc>
        <w:tc>
          <w:tcPr>
            <w:tcW w:w="0" w:type="auto"/>
            <w:tcBorders>
              <w:tl2br w:val="nil"/>
              <w:tr2bl w:val="nil"/>
            </w:tcBorders>
            <w:vAlign w:val="center"/>
          </w:tcPr>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生活饮用水标准检验方法 第5部分：无机非金属指标</w:t>
            </w:r>
          </w:p>
          <w:p>
            <w:pPr>
              <w:autoSpaceDN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 5750.5-2023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11.1 纳氏试剂分光光度法</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紫外可见分光光度计</w:t>
            </w:r>
          </w:p>
          <w:p>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T6新世纪</w:t>
            </w:r>
          </w:p>
          <w:p>
            <w:pPr>
              <w:widowControl/>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sz w:val="21"/>
                <w:szCs w:val="21"/>
                <w:highlight w:val="none"/>
              </w:rPr>
              <w:t>SYZZ-SB-028-02</w:t>
            </w:r>
          </w:p>
        </w:tc>
        <w:tc>
          <w:tcPr>
            <w:tcW w:w="0" w:type="auto"/>
            <w:tcBorders>
              <w:tl2br w:val="nil"/>
              <w:tr2bl w:val="nil"/>
            </w:tcBorders>
            <w:vAlign w:val="center"/>
          </w:tcPr>
          <w:p>
            <w:pPr>
              <w:widowControl/>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kern w:val="0"/>
                <w:sz w:val="21"/>
                <w:szCs w:val="21"/>
                <w:highlight w:val="none"/>
              </w:rPr>
              <w:t>0.02</w:t>
            </w:r>
          </w:p>
        </w:tc>
        <w:tc>
          <w:tcPr>
            <w:tcW w:w="0" w:type="auto"/>
            <w:tcBorders>
              <w:tl2br w:val="nil"/>
              <w:tr2bl w:val="nil"/>
            </w:tcBorders>
            <w:vAlign w:val="center"/>
          </w:tcPr>
          <w:p>
            <w:pPr>
              <w:autoSpaceDN w:val="0"/>
              <w:jc w:val="center"/>
              <w:textAlignment w:val="center"/>
              <w:rPr>
                <w:rFonts w:hint="default" w:ascii="Times New Roman" w:hAnsi="Times New Roman" w:eastAsia="宋体" w:cs="Times New Roman"/>
                <w:sz w:val="21"/>
                <w:szCs w:val="21"/>
                <w:highlight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38</w:t>
            </w:r>
          </w:p>
        </w:tc>
        <w:tc>
          <w:tcPr>
            <w:tcW w:w="0" w:type="auto"/>
            <w:gridSpan w:val="2"/>
            <w:tcBorders>
              <w:tl2br w:val="nil"/>
              <w:tr2bl w:val="nil"/>
            </w:tcBorders>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总α放射性</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第13部分：放射性指标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5750.13-2023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4.1 低本底总α检测法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低本底α、β测量仪</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LB-2</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SYZZ-SB-075-02</w:t>
            </w:r>
          </w:p>
        </w:tc>
        <w:tc>
          <w:tcPr>
            <w:tcW w:w="1104" w:type="dxa"/>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0.02</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Bq/L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39</w:t>
            </w:r>
          </w:p>
        </w:tc>
        <w:tc>
          <w:tcPr>
            <w:tcW w:w="0" w:type="auto"/>
            <w:gridSpan w:val="2"/>
            <w:tcBorders>
              <w:tl2br w:val="nil"/>
              <w:tr2bl w:val="nil"/>
            </w:tcBorders>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总β放射性</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第13部分：放射性指标</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GB/T 5750.13-2023</w:t>
            </w:r>
            <w:r>
              <w:rPr>
                <w:rFonts w:hint="default" w:ascii="Times New Roman" w:hAnsi="Times New Roman" w:eastAsia="宋体" w:cs="Times New Roman"/>
                <w:color w:val="auto"/>
                <w:sz w:val="21"/>
                <w:szCs w:val="21"/>
                <w:highlight w:val="none"/>
                <w:lang w:val="en-US" w:eastAsia="zh-CN"/>
              </w:rPr>
              <w:br w:type="textWrapping"/>
            </w:r>
            <w:r>
              <w:rPr>
                <w:rFonts w:hint="default" w:ascii="Times New Roman" w:hAnsi="Times New Roman" w:eastAsia="宋体" w:cs="Times New Roman"/>
                <w:color w:val="auto"/>
                <w:sz w:val="21"/>
                <w:szCs w:val="21"/>
                <w:highlight w:val="none"/>
                <w:lang w:val="en-US" w:eastAsia="zh-CN"/>
              </w:rPr>
              <w:t>5.1 低本底总β检测法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低本底α、β测量仪</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LB-2</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SYZZ-SB-075-02</w:t>
            </w:r>
          </w:p>
        </w:tc>
        <w:tc>
          <w:tcPr>
            <w:tcW w:w="1104" w:type="dxa"/>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Bq/L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c>
          <w:tcPr>
            <w:tcW w:w="142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游离氯</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第11部分：消毒剂指标</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5750.11-2023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4.1  N,N-二乙基对苯二胺（DPD）分光光度法  </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多参数便携式水质分析仪LH-M900</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SYZZ-SB-114-(05-06)</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w:t>
            </w:r>
          </w:p>
        </w:tc>
        <w:tc>
          <w:tcPr>
            <w:tcW w:w="142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总氯</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第11部分：消毒剂指标</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5750.11-2023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5.1 现场 N,N-二乙基对苯二胺(DPD)法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多参数便携式水质分析仪LH-M900</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SYZZ-SB-114-(05-06)</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0.02</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w:t>
            </w:r>
          </w:p>
        </w:tc>
        <w:tc>
          <w:tcPr>
            <w:tcW w:w="142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臭氧</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第11部分：消毒剂指标</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5750.11-2023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9.2 靛蓝分光光度法 </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多参数便携式水质分析仪LH-M900</w:t>
            </w:r>
          </w:p>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SYZZ-SB-114-(05-06)</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0.01</w:t>
            </w:r>
          </w:p>
        </w:tc>
        <w:tc>
          <w:tcPr>
            <w:tcW w:w="0" w:type="auto"/>
            <w:tcBorders>
              <w:tl2br w:val="nil"/>
              <w:tr2bl w:val="nil"/>
            </w:tcBorders>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w:t>
            </w:r>
          </w:p>
        </w:tc>
        <w:tc>
          <w:tcPr>
            <w:tcW w:w="142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二氧化氯</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生活饮用水标准检验方法 第11部分：消毒剂指标</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GB/T 5750.11-2023</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8.4 现场N,N-二乙基对苯二胺(DPD)法</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多参数便携式水质分析仪LH-M900</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SYZZ-SB-114-(05-06)</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0.02</w:t>
            </w:r>
          </w:p>
        </w:tc>
        <w:tc>
          <w:tcPr>
            <w:tcW w:w="0" w:type="auto"/>
            <w:tcBorders>
              <w:tl2br w:val="nil"/>
              <w:tr2bl w:val="nil"/>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mg/L</w:t>
            </w:r>
          </w:p>
        </w:tc>
      </w:tr>
    </w:tbl>
    <w:p>
      <w:pPr>
        <w:keepNext w:val="0"/>
        <w:keepLines w:val="0"/>
        <w:pageBreakBefore w:val="0"/>
        <w:widowControl w:val="0"/>
        <w:kinsoku/>
        <w:wordWrap/>
        <w:overflowPunct/>
        <w:topLinePunct w:val="0"/>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000000"/>
          <w:kern w:val="0"/>
          <w:sz w:val="24"/>
          <w:szCs w:val="24"/>
          <w:highlight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b/>
          <w:bCs/>
          <w:kern w:val="0"/>
          <w:sz w:val="28"/>
          <w:szCs w:val="28"/>
          <w:highlight w:val="none"/>
        </w:rPr>
      </w:pPr>
      <w:r>
        <w:rPr>
          <w:rFonts w:hint="eastAsia" w:ascii="Times New Roman" w:hAnsi="Times New Roman" w:eastAsia="宋体" w:cs="Times New Roman"/>
          <w:b/>
          <w:bCs/>
          <w:kern w:val="0"/>
          <w:sz w:val="28"/>
          <w:szCs w:val="28"/>
          <w:highlight w:val="none"/>
          <w:lang w:val="en-US" w:eastAsia="zh-CN"/>
        </w:rPr>
        <w:t>3、评价标准</w:t>
      </w:r>
    </w:p>
    <w:p>
      <w:pPr>
        <w:keepNext w:val="0"/>
        <w:keepLines w:val="0"/>
        <w:pageBreakBefore w:val="0"/>
        <w:widowControl w:val="0"/>
        <w:kinsoku/>
        <w:wordWrap/>
        <w:overflowPunct/>
        <w:topLinePunct w:val="0"/>
        <w:bidi w:val="0"/>
        <w:adjustRightInd/>
        <w:snapToGrid w:val="0"/>
        <w:spacing w:line="360" w:lineRule="auto"/>
        <w:ind w:left="0" w:leftChars="0" w:right="0" w:rightChars="0" w:firstLine="480" w:firstLineChars="200"/>
        <w:jc w:val="both"/>
        <w:textAlignment w:val="auto"/>
        <w:outlineLvl w:val="9"/>
        <w:rPr>
          <w:rFonts w:hint="eastAsia" w:ascii="Times New Roman" w:hAnsi="Times New Roman" w:eastAsia="宋体" w:cs="Times New Roman"/>
          <w:b w:val="0"/>
          <w:bCs w:val="0"/>
          <w:color w:val="000000"/>
          <w:kern w:val="0"/>
          <w:sz w:val="24"/>
          <w:szCs w:val="24"/>
          <w:highlight w:val="none"/>
          <w:lang w:val="en-US" w:eastAsia="zh-CN" w:bidi="ar"/>
        </w:rPr>
      </w:pPr>
      <w:r>
        <w:rPr>
          <w:rFonts w:hint="eastAsia" w:ascii="Times New Roman" w:hAnsi="Times New Roman" w:eastAsia="宋体" w:cs="Times New Roman"/>
          <w:b w:val="0"/>
          <w:bCs w:val="0"/>
          <w:color w:val="000000"/>
          <w:kern w:val="0"/>
          <w:sz w:val="24"/>
          <w:szCs w:val="24"/>
          <w:highlight w:val="none"/>
          <w:lang w:val="en-US" w:eastAsia="zh-CN" w:bidi="ar"/>
        </w:rPr>
        <w:t>本项目检测结果评价主要依据</w:t>
      </w:r>
      <w:r>
        <w:rPr>
          <w:rFonts w:hint="default" w:ascii="Times New Roman" w:hAnsi="Times New Roman" w:eastAsia="宋体" w:cs="Times New Roman"/>
          <w:b w:val="0"/>
          <w:bCs w:val="0"/>
          <w:color w:val="000000"/>
          <w:kern w:val="0"/>
          <w:sz w:val="24"/>
          <w:szCs w:val="24"/>
          <w:highlight w:val="none"/>
          <w:lang w:val="en-US" w:eastAsia="zh-CN" w:bidi="ar"/>
        </w:rPr>
        <w:t>《生活饮用水卫生标准》（GB5749-2022）</w:t>
      </w:r>
      <w:r>
        <w:rPr>
          <w:rFonts w:hint="eastAsia" w:ascii="Times New Roman" w:hAnsi="Times New Roman" w:eastAsia="宋体" w:cs="Times New Roman"/>
          <w:b w:val="0"/>
          <w:bCs w:val="0"/>
          <w:color w:val="000000"/>
          <w:kern w:val="0"/>
          <w:sz w:val="24"/>
          <w:szCs w:val="24"/>
          <w:highlight w:val="none"/>
          <w:lang w:val="en-US" w:eastAsia="zh-CN" w:bidi="ar"/>
        </w:rPr>
        <w:t>进行，具体评价限值详见表3。</w:t>
      </w:r>
    </w:p>
    <w:tbl>
      <w:tblPr>
        <w:tblStyle w:val="15"/>
        <w:tblW w:w="4969"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460"/>
        <w:gridCol w:w="5074"/>
        <w:gridCol w:w="172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325"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124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检测项目</w:t>
            </w:r>
          </w:p>
        </w:tc>
        <w:tc>
          <w:tcPr>
            <w:tcW w:w="256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《生活饮用水卫生标准》（GB5749-2022）标准限值</w:t>
            </w:r>
          </w:p>
        </w:tc>
        <w:tc>
          <w:tcPr>
            <w:tcW w:w="869"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单位</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5"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24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总大肠菌群</w:t>
            </w:r>
          </w:p>
        </w:tc>
        <w:tc>
          <w:tcPr>
            <w:tcW w:w="256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不应检出</w:t>
            </w:r>
          </w:p>
        </w:tc>
        <w:tc>
          <w:tcPr>
            <w:tcW w:w="869"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MPN/100m</w:t>
            </w:r>
            <w:r>
              <w:rPr>
                <w:rFonts w:hint="default" w:ascii="Times New Roman" w:hAnsi="Times New Roman" w:eastAsia="宋体" w:cs="Times New Roman"/>
                <w:color w:val="auto"/>
                <w:sz w:val="21"/>
                <w:szCs w:val="21"/>
                <w:highlight w:val="none"/>
                <w:lang w:val="en-US" w:eastAsia="zh-CN"/>
              </w:rPr>
              <w:t>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5"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24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大肠埃希氏菌</w:t>
            </w:r>
          </w:p>
        </w:tc>
        <w:tc>
          <w:tcPr>
            <w:tcW w:w="2562"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不应检出</w:t>
            </w:r>
          </w:p>
        </w:tc>
        <w:tc>
          <w:tcPr>
            <w:tcW w:w="869" w:type="pct"/>
            <w:tcBorders>
              <w:tl2br w:val="nil"/>
              <w:tr2bl w:val="nil"/>
            </w:tcBorders>
            <w:noWrap w:val="0"/>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MPN/100m</w:t>
            </w:r>
            <w:r>
              <w:rPr>
                <w:rFonts w:hint="default" w:ascii="Times New Roman" w:hAnsi="Times New Roman" w:eastAsia="宋体" w:cs="Times New Roman"/>
                <w:color w:val="auto"/>
                <w:sz w:val="21"/>
                <w:szCs w:val="21"/>
                <w:highlight w:val="none"/>
                <w:lang w:val="en-US" w:eastAsia="zh-CN"/>
              </w:rPr>
              <w:t>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菌落总数</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CFU/mL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lang w:eastAsia="zh-CN"/>
              </w:rPr>
              <w:t>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镉</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lang w:val="en-US" w:eastAsia="zh-CN"/>
              </w:rPr>
              <w:t>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铬（六价）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铅</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lang w:val="en-US" w:eastAsia="zh-CN"/>
              </w:rPr>
              <w:t>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汞</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氰化物</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氟化物</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硝酸盐</w:t>
            </w:r>
            <w:r>
              <w:rPr>
                <w:rFonts w:hint="default" w:ascii="Times New Roman" w:hAnsi="Times New Roman" w:eastAsia="宋体" w:cs="Times New Roman"/>
                <w:color w:val="auto"/>
                <w:sz w:val="21"/>
                <w:szCs w:val="21"/>
                <w:highlight w:val="none"/>
                <w:lang w:eastAsia="zh-CN"/>
              </w:rPr>
              <w:t>（以</w:t>
            </w:r>
            <w:r>
              <w:rPr>
                <w:rFonts w:hint="default" w:ascii="Times New Roman" w:hAnsi="Times New Roman" w:eastAsia="宋体" w:cs="Times New Roman"/>
                <w:color w:val="auto"/>
                <w:sz w:val="21"/>
                <w:szCs w:val="21"/>
                <w:highlight w:val="none"/>
                <w:lang w:val="en-US" w:eastAsia="zh-CN"/>
              </w:rPr>
              <w:t>N计</w:t>
            </w:r>
            <w:r>
              <w:rPr>
                <w:rFonts w:hint="default" w:ascii="Times New Roman" w:hAnsi="Times New Roman" w:eastAsia="宋体" w:cs="Times New Roman"/>
                <w:color w:val="auto"/>
                <w:sz w:val="21"/>
                <w:szCs w:val="21"/>
                <w:highlight w:val="none"/>
                <w:lang w:eastAsia="zh-CN"/>
              </w:rPr>
              <w:t>）</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三氯甲烷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0.06</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一氯二溴甲烷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二氯一溴甲烷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0.06</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三溴甲烷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三卤甲烷（包含</w:t>
            </w:r>
            <w:r>
              <w:rPr>
                <w:rFonts w:hint="default" w:ascii="Times New Roman" w:hAnsi="Times New Roman" w:eastAsia="宋体" w:cs="Times New Roman"/>
                <w:color w:val="auto"/>
                <w:sz w:val="21"/>
                <w:szCs w:val="21"/>
                <w:highlight w:val="none"/>
              </w:rPr>
              <w:t>三氯甲烷</w:t>
            </w:r>
            <w:r>
              <w:rPr>
                <w:rFonts w:hint="default" w:ascii="Times New Roman" w:hAnsi="Times New Roman" w:eastAsia="宋体" w:cs="Times New Roman"/>
                <w:color w:val="auto"/>
                <w:sz w:val="21"/>
                <w:szCs w:val="21"/>
                <w:highlight w:val="none"/>
                <w:lang w:val="en-US" w:eastAsia="zh-CN"/>
              </w:rPr>
              <w:t>、一氯二溴甲烷、二氯一溴甲烷、三溴甲烷）</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该类化合物中各种化合物的实测浓度与其各自限值的比值之和不超过1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二氯乙酸</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18</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三氯乙酸</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溴酸盐</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c>
          <w:tcPr>
            <w:tcW w:w="869"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亚氯酸盐</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0.7</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21</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氯酸盐</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0.7</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色度</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度</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浑浊度</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NTU</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24</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臭和味</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无异臭、异味</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肉眼可见物</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26</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lang w:val="en-US" w:eastAsia="zh-CN"/>
              </w:rPr>
              <w:t>值</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不小于6.5且不大于8.5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无量纲</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27</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铝</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28</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铁</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29</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锰</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铜</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31</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锌</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32</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氯化物</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33</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硫酸盐</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34</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溶解性总固体</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总硬度</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450</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高锰酸盐指数（以O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计）</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氨（以N计）</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38</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总α放射性</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0.5（指导值）</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Bq/L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39</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总β放射性</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0.5（指导值）</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Bq/L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游离氯</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出厂水和末梢水限值≤2，出厂水余量≥0.3，末梢水余量≥0.05（与水接触时间≥30min）</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总氯</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出厂水和末梢水限值≤3，出厂水余量≥0.5，末梢水余量≥0.05（与水接触时间≥120min）</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臭氧</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出厂水和末梢水限值≤0.3，末梢水余量≥0.02如采用其他协同消毒方式，消毒剂限值及余量应满足相应要求（与水接触时间≥12min）</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w:t>
            </w:r>
          </w:p>
        </w:tc>
        <w:tc>
          <w:tcPr>
            <w:tcW w:w="124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二氧化氯</w:t>
            </w:r>
          </w:p>
        </w:tc>
        <w:tc>
          <w:tcPr>
            <w:tcW w:w="2562" w:type="pct"/>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出厂水和末梢水限值≤0.8，出厂水余量≥0.1，末梢水余量≥0.02（与水接触时间≥30min）</w:t>
            </w:r>
          </w:p>
        </w:tc>
        <w:tc>
          <w:tcPr>
            <w:tcW w:w="0" w:type="auto"/>
            <w:tcBorders>
              <w:tl2br w:val="nil"/>
              <w:tr2bl w:val="nil"/>
            </w:tcBorders>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mg/L</w:t>
            </w:r>
          </w:p>
        </w:tc>
      </w:tr>
    </w:tbl>
    <w:p>
      <w:pPr>
        <w:pStyle w:val="9"/>
        <w:keepNext w:val="0"/>
        <w:keepLines w:val="0"/>
        <w:pageBreakBefore w:val="0"/>
        <w:widowControl w:val="0"/>
        <w:numPr>
          <w:ilvl w:val="0"/>
          <w:numId w:val="0"/>
        </w:numPr>
        <w:kinsoku/>
        <w:wordWrap/>
        <w:overflowPunct/>
        <w:topLinePunct w:val="0"/>
        <w:bidi w:val="0"/>
        <w:snapToGrid/>
        <w:spacing w:line="360" w:lineRule="auto"/>
        <w:ind w:leftChars="0"/>
        <w:jc w:val="both"/>
        <w:textAlignment w:val="auto"/>
        <w:outlineLvl w:val="0"/>
        <w:rPr>
          <w:rFonts w:hint="eastAsia" w:ascii="Times New Roman" w:eastAsia="宋体" w:cs="Times New Roman"/>
          <w:b/>
          <w:bCs/>
          <w:color w:val="auto"/>
          <w:sz w:val="30"/>
          <w:szCs w:val="30"/>
          <w:highlight w:val="none"/>
          <w:lang w:val="en-US" w:eastAsia="zh-CN"/>
        </w:rPr>
      </w:pPr>
      <w:r>
        <w:rPr>
          <w:rFonts w:hint="eastAsia" w:ascii="Times New Roman" w:eastAsia="宋体" w:cs="Times New Roman"/>
          <w:b/>
          <w:bCs/>
          <w:color w:val="auto"/>
          <w:sz w:val="30"/>
          <w:szCs w:val="30"/>
          <w:highlight w:val="none"/>
          <w:lang w:val="en-US" w:eastAsia="zh-CN"/>
        </w:rPr>
        <w:t>三、检测结果分析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b/>
          <w:bCs/>
          <w:kern w:val="0"/>
          <w:sz w:val="28"/>
          <w:szCs w:val="28"/>
          <w:highlight w:val="none"/>
          <w:lang w:val="en-US" w:eastAsia="zh-CN"/>
        </w:rPr>
      </w:pPr>
      <w:r>
        <w:rPr>
          <w:rFonts w:hint="eastAsia" w:ascii="Times New Roman" w:hAnsi="Times New Roman" w:eastAsia="宋体" w:cs="Times New Roman"/>
          <w:b/>
          <w:bCs/>
          <w:kern w:val="0"/>
          <w:sz w:val="28"/>
          <w:szCs w:val="28"/>
          <w:highlight w:val="none"/>
          <w:lang w:val="en-US" w:eastAsia="zh-CN"/>
        </w:rPr>
        <w:t>1、采样点位合格情况</w:t>
      </w:r>
    </w:p>
    <w:tbl>
      <w:tblPr>
        <w:tblStyle w:val="15"/>
        <w:tblW w:w="4979"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4311"/>
        <w:gridCol w:w="2481"/>
        <w:gridCol w:w="248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cs="Times New Roman"/>
                <w:sz w:val="21"/>
                <w:szCs w:val="21"/>
                <w:highlight w:val="none"/>
              </w:rPr>
              <w:t>序号</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cs="Times New Roman"/>
                <w:sz w:val="21"/>
                <w:szCs w:val="21"/>
                <w:highlight w:val="none"/>
              </w:rPr>
              <w:t>采样点位</w:t>
            </w:r>
          </w:p>
        </w:tc>
        <w:tc>
          <w:tcPr>
            <w:tcW w:w="125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水样类型</w:t>
            </w:r>
          </w:p>
        </w:tc>
        <w:tc>
          <w:tcPr>
            <w:tcW w:w="12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snapToGrid/>
                <w:color w:val="auto"/>
                <w:sz w:val="21"/>
                <w:szCs w:val="21"/>
                <w:highlight w:val="none"/>
                <w:u w:val="none"/>
                <w:lang w:val="en-US" w:eastAsia="zh-CN" w:bidi="ar-SA"/>
              </w:rPr>
            </w:pPr>
            <w:r>
              <w:rPr>
                <w:rFonts w:hint="eastAsia" w:ascii="Times New Roman" w:hAnsi="Times New Roman" w:eastAsia="宋体" w:cs="Times New Roman"/>
                <w:b w:val="0"/>
                <w:bCs w:val="0"/>
                <w:i w:val="0"/>
                <w:iCs w:val="0"/>
                <w:color w:val="auto"/>
                <w:kern w:val="0"/>
                <w:sz w:val="21"/>
                <w:szCs w:val="21"/>
                <w:u w:val="none"/>
                <w:lang w:val="en-US" w:eastAsia="zh-CN" w:bidi="ar"/>
              </w:rPr>
              <w:t>不符合项</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sz w:val="21"/>
                <w:szCs w:val="21"/>
                <w:highlight w:val="none"/>
              </w:rPr>
              <w:t>1</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北海宝马泵站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2</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二台子自来水营业所</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3</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金桥所汇新泵站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4</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东塔所锦绣花园泵站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5</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汽车城南区泵站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6</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华园新村泵站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7</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军区联勤部泵站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8</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正轩悦堂泵站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9</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玖成乐府泵站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10</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工人村泵站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11</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太清宫泵站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12</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山东堡泵站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13</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电话东泵站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14</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翠生泵站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15</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红袍泵站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16</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中海寰宇泵站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17</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中粮二期泵站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18</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八号院泵站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sz w:val="21"/>
                <w:szCs w:val="21"/>
                <w:highlight w:val="none"/>
                <w:lang w:val="en-US" w:eastAsia="zh-CN"/>
              </w:rPr>
              <w:t>19</w:t>
            </w:r>
          </w:p>
        </w:tc>
        <w:tc>
          <w:tcPr>
            <w:tcW w:w="4311"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sz w:val="21"/>
                <w:szCs w:val="21"/>
                <w:highlight w:val="none"/>
                <w:lang w:eastAsia="zh-CN"/>
              </w:rPr>
              <w:t>陵北北区泵站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20</w:t>
            </w:r>
          </w:p>
        </w:tc>
        <w:tc>
          <w:tcPr>
            <w:tcW w:w="4311" w:type="dxa"/>
            <w:tcBorders>
              <w:tl2br w:val="nil"/>
              <w:tr2bl w:val="nil"/>
            </w:tcBorders>
            <w:shd w:val="clear" w:color="auto" w:fill="auto"/>
            <w:vAlign w:val="center"/>
          </w:tcPr>
          <w:p>
            <w:pPr>
              <w:jc w:val="center"/>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兴建泵站</w:t>
            </w:r>
          </w:p>
        </w:tc>
        <w:tc>
          <w:tcPr>
            <w:tcW w:w="24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管网末梢水</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b/>
          <w:bCs/>
          <w:kern w:val="0"/>
          <w:sz w:val="28"/>
          <w:szCs w:val="28"/>
          <w:highlight w:val="none"/>
          <w:lang w:val="en-US" w:eastAsia="zh-CN"/>
        </w:rPr>
      </w:pPr>
      <w:r>
        <w:rPr>
          <w:rFonts w:hint="eastAsia" w:ascii="Times New Roman" w:hAnsi="Times New Roman" w:eastAsia="宋体" w:cs="Times New Roman"/>
          <w:b/>
          <w:bCs/>
          <w:kern w:val="0"/>
          <w:sz w:val="28"/>
          <w:szCs w:val="28"/>
          <w:highlight w:val="none"/>
          <w:lang w:val="en-US" w:eastAsia="zh-CN"/>
        </w:rPr>
        <w:t>2、检测项目合格情况</w:t>
      </w:r>
    </w:p>
    <w:tbl>
      <w:tblPr>
        <w:tblStyle w:val="15"/>
        <w:tblW w:w="4979"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2264"/>
        <w:gridCol w:w="2264"/>
        <w:gridCol w:w="2264"/>
        <w:gridCol w:w="2480"/>
      </w:tblGrid>
      <w:tr>
        <w:tblPrEx>
          <w:tblCellMar>
            <w:top w:w="0" w:type="dxa"/>
            <w:left w:w="108" w:type="dxa"/>
            <w:bottom w:w="0" w:type="dxa"/>
            <w:right w:w="108" w:type="dxa"/>
          </w:tblCellMar>
        </w:tblPrEx>
        <w:trPr>
          <w:trHeight w:val="567" w:hRule="atLeast"/>
          <w:tblHeader/>
        </w:trPr>
        <w:tc>
          <w:tcPr>
            <w:tcW w:w="649" w:type="dxa"/>
            <w:tcBorders>
              <w:tl2br w:val="nil"/>
              <w:tr2bl w:val="nil"/>
            </w:tcBorders>
            <w:shd w:val="clear" w:color="auto" w:fill="auto"/>
            <w:vAlign w:val="center"/>
          </w:tcPr>
          <w:p>
            <w:pPr>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sz w:val="21"/>
                <w:szCs w:val="21"/>
                <w:highlight w:val="none"/>
              </w:rPr>
              <w:t>序号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检测项目</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点位数</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合格数</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snapToGrid/>
                <w:color w:val="auto"/>
                <w:sz w:val="21"/>
                <w:szCs w:val="21"/>
                <w:highlight w:val="none"/>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合格率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总大肠菌群</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大肠埃希氏菌</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w:t>
            </w:r>
          </w:p>
        </w:tc>
        <w:tc>
          <w:tcPr>
            <w:tcW w:w="0" w:type="auto"/>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菌落总数</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4</w:t>
            </w:r>
          </w:p>
        </w:tc>
        <w:tc>
          <w:tcPr>
            <w:tcW w:w="0" w:type="auto"/>
            <w:tcBorders>
              <w:tl2br w:val="nil"/>
              <w:tr2bl w:val="nil"/>
            </w:tcBorders>
            <w:shd w:val="clear" w:color="auto" w:fill="auto"/>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5</w:t>
            </w:r>
          </w:p>
        </w:tc>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vertAlign w:val="baseline"/>
                <w:lang w:val="en-US" w:eastAsia="zh-CN"/>
              </w:rPr>
              <w:t>镉</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w:t>
            </w:r>
          </w:p>
        </w:tc>
        <w:tc>
          <w:tcPr>
            <w:tcW w:w="0" w:type="auto"/>
            <w:tcBorders>
              <w:tl2br w:val="nil"/>
              <w:tr2bl w:val="nil"/>
            </w:tcBorders>
            <w:shd w:val="clear" w:color="auto" w:fill="auto"/>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铬（六价）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w:t>
            </w:r>
          </w:p>
        </w:tc>
        <w:tc>
          <w:tcPr>
            <w:tcW w:w="0" w:type="auto"/>
            <w:tcBorders>
              <w:tl2br w:val="nil"/>
              <w:tr2bl w:val="nil"/>
            </w:tcBorders>
            <w:shd w:val="clear" w:color="auto" w:fill="auto"/>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铅</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8</w:t>
            </w:r>
          </w:p>
        </w:tc>
        <w:tc>
          <w:tcPr>
            <w:tcW w:w="0" w:type="auto"/>
            <w:tcBorders>
              <w:tl2br w:val="nil"/>
              <w:tr2bl w:val="nil"/>
            </w:tcBorders>
            <w:shd w:val="clear" w:color="auto" w:fill="auto"/>
            <w:vAlign w:val="center"/>
          </w:tcPr>
          <w:p>
            <w:pPr>
              <w:adjustRightInd w:val="0"/>
              <w:snapToGrid w:val="0"/>
              <w:spacing w:line="256"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汞</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9</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氰化物</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10</w:t>
            </w:r>
          </w:p>
        </w:tc>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氟化物</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11</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硝酸盐</w:t>
            </w:r>
          </w:p>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（以</w:t>
            </w:r>
            <w:r>
              <w:rPr>
                <w:rFonts w:hint="default" w:ascii="Times New Roman" w:hAnsi="Times New Roman" w:eastAsia="宋体" w:cs="Times New Roman"/>
                <w:color w:val="auto"/>
                <w:sz w:val="21"/>
                <w:szCs w:val="21"/>
                <w:highlight w:val="none"/>
                <w:lang w:val="en-US" w:eastAsia="zh-CN"/>
              </w:rPr>
              <w:t>N计</w:t>
            </w:r>
            <w:r>
              <w:rPr>
                <w:rFonts w:hint="default" w:ascii="Times New Roman" w:hAnsi="Times New Roman" w:eastAsia="宋体" w:cs="Times New Roman"/>
                <w:color w:val="auto"/>
                <w:sz w:val="21"/>
                <w:szCs w:val="21"/>
                <w:highlight w:val="none"/>
                <w:lang w:eastAsia="zh-CN"/>
              </w:rPr>
              <w:t>）</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12</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三氯甲烷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13</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一氯二溴甲烷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14</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二氯一溴甲烷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15</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三溴甲烷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16</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kern w:val="0"/>
                <w:sz w:val="21"/>
                <w:szCs w:val="21"/>
                <w:highlight w:val="none"/>
                <w:lang w:val="en-US" w:eastAsia="zh-CN" w:bidi="ar-SA"/>
              </w:rPr>
              <w:t>三卤甲烷</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17</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二氯乙酸</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18</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三氯乙酸</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19</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溴酸盐</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亚氯酸盐</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21</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氯酸盐</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22</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色度</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23</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浑浊度</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24</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臭和味</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25</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肉眼可见物</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26</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pH</w:t>
            </w:r>
            <w:r>
              <w:rPr>
                <w:rFonts w:hint="default" w:ascii="Times New Roman" w:hAnsi="Times New Roman" w:eastAsia="宋体" w:cs="Times New Roman"/>
                <w:color w:val="auto"/>
                <w:sz w:val="21"/>
                <w:szCs w:val="21"/>
                <w:highlight w:val="none"/>
                <w:lang w:val="en-US" w:eastAsia="zh-CN"/>
              </w:rPr>
              <w:t>值</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27</w:t>
            </w:r>
          </w:p>
        </w:tc>
        <w:tc>
          <w:tcPr>
            <w:tcW w:w="0" w:type="auto"/>
            <w:tcBorders>
              <w:tl2br w:val="nil"/>
              <w:tr2bl w:val="nil"/>
            </w:tcBorders>
            <w:shd w:val="clear" w:color="auto" w:fill="auto"/>
            <w:vAlign w:val="center"/>
          </w:tcPr>
          <w:p>
            <w:pPr>
              <w:adjustRightInd w:val="0"/>
              <w:snapToGrid w:val="0"/>
              <w:spacing w:line="256"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铝</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28</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铁</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29</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锰</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30</w:t>
            </w:r>
          </w:p>
        </w:tc>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铜</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31</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锌</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32</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氯化物</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33</w:t>
            </w:r>
          </w:p>
        </w:tc>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硫酸盐</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34</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溶解性总固体</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35</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总硬度</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36</w:t>
            </w:r>
          </w:p>
        </w:tc>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高锰酸盐指数（以O</w:t>
            </w:r>
            <w:r>
              <w:rPr>
                <w:rFonts w:hint="default" w:ascii="Times New Roman" w:hAnsi="Times New Roman" w:eastAsia="宋体" w:cs="Times New Roman"/>
                <w:bCs/>
                <w:color w:val="auto"/>
                <w:sz w:val="21"/>
                <w:szCs w:val="21"/>
                <w:highlight w:val="none"/>
                <w:vertAlign w:val="subscript"/>
              </w:rPr>
              <w:t>2</w:t>
            </w:r>
            <w:r>
              <w:rPr>
                <w:rFonts w:hint="default" w:ascii="Times New Roman" w:hAnsi="Times New Roman" w:eastAsia="宋体" w:cs="Times New Roman"/>
                <w:bCs/>
                <w:color w:val="auto"/>
                <w:sz w:val="21"/>
                <w:szCs w:val="21"/>
                <w:highlight w:val="none"/>
              </w:rPr>
              <w:t>计）</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37</w:t>
            </w:r>
          </w:p>
        </w:tc>
        <w:tc>
          <w:tcPr>
            <w:tcW w:w="0" w:type="auto"/>
            <w:tcBorders>
              <w:tl2br w:val="nil"/>
              <w:tr2bl w:val="nil"/>
            </w:tcBorders>
            <w:shd w:val="clear" w:color="auto" w:fill="auto"/>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氨（以N计）</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38</w:t>
            </w:r>
          </w:p>
        </w:tc>
        <w:tc>
          <w:tcPr>
            <w:tcW w:w="0" w:type="auto"/>
            <w:tcBorders>
              <w:tl2br w:val="nil"/>
              <w:tr2bl w:val="nil"/>
            </w:tcBorders>
            <w:shd w:val="clear" w:color="auto" w:fill="auto"/>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总α放射性</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39</w:t>
            </w:r>
          </w:p>
        </w:tc>
        <w:tc>
          <w:tcPr>
            <w:tcW w:w="0" w:type="auto"/>
            <w:tcBorders>
              <w:tl2br w:val="nil"/>
              <w:tr2bl w:val="nil"/>
            </w:tcBorders>
            <w:shd w:val="clear" w:color="auto" w:fill="auto"/>
            <w:vAlign w:val="center"/>
          </w:tcPr>
          <w:p>
            <w:pPr>
              <w:autoSpaceDN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总β放射性</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40</w:t>
            </w:r>
          </w:p>
        </w:tc>
        <w:tc>
          <w:tcPr>
            <w:tcW w:w="0" w:type="auto"/>
            <w:tcBorders>
              <w:tl2br w:val="nil"/>
              <w:tr2bl w:val="nil"/>
            </w:tcBorders>
            <w:shd w:val="clear" w:color="auto" w:fill="auto"/>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b w:val="0"/>
                <w:i w:val="0"/>
                <w:snapToGrid/>
                <w:color w:val="auto"/>
                <w:sz w:val="21"/>
                <w:szCs w:val="21"/>
                <w:highlight w:val="none"/>
                <w:u w:val="none"/>
                <w:lang w:val="en-US" w:eastAsia="zh-CN"/>
              </w:rPr>
              <w:t>游离氯</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41</w:t>
            </w:r>
          </w:p>
        </w:tc>
        <w:tc>
          <w:tcPr>
            <w:tcW w:w="0" w:type="auto"/>
            <w:tcBorders>
              <w:tl2br w:val="nil"/>
              <w:tr2bl w:val="nil"/>
            </w:tcBorders>
            <w:shd w:val="clear" w:color="auto" w:fill="auto"/>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b w:val="0"/>
                <w:i w:val="0"/>
                <w:snapToGrid/>
                <w:color w:val="auto"/>
                <w:sz w:val="21"/>
                <w:szCs w:val="21"/>
                <w:highlight w:val="none"/>
                <w:u w:val="none"/>
                <w:lang w:val="en-US" w:eastAsia="zh-CN"/>
              </w:rPr>
              <w:t>总氯</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42</w:t>
            </w:r>
          </w:p>
        </w:tc>
        <w:tc>
          <w:tcPr>
            <w:tcW w:w="0" w:type="auto"/>
            <w:tcBorders>
              <w:tl2br w:val="nil"/>
              <w:tr2bl w:val="nil"/>
            </w:tcBorders>
            <w:shd w:val="clear" w:color="auto" w:fill="auto"/>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b w:val="0"/>
                <w:i w:val="0"/>
                <w:snapToGrid/>
                <w:color w:val="auto"/>
                <w:sz w:val="21"/>
                <w:szCs w:val="21"/>
                <w:highlight w:val="none"/>
                <w:u w:val="none"/>
                <w:lang w:val="en-US" w:eastAsia="zh-CN"/>
              </w:rPr>
              <w:t>臭氧</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tcBorders>
              <w:tl2br w:val="nil"/>
              <w:tr2bl w:val="nil"/>
            </w:tcBorders>
            <w:shd w:val="clear" w:color="auto" w:fill="auto"/>
            <w:vAlign w:val="center"/>
          </w:tcPr>
          <w:p>
            <w:pPr>
              <w:adjustRightInd w:val="0"/>
              <w:snapToGrid w:val="0"/>
              <w:spacing w:line="26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43</w:t>
            </w:r>
          </w:p>
        </w:tc>
        <w:tc>
          <w:tcPr>
            <w:tcW w:w="0" w:type="auto"/>
            <w:tcBorders>
              <w:tl2br w:val="nil"/>
              <w:tr2bl w:val="nil"/>
            </w:tcBorders>
            <w:shd w:val="clear" w:color="auto" w:fill="auto"/>
            <w:vAlign w:val="center"/>
          </w:tcPr>
          <w:p>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1"/>
                <w:szCs w:val="21"/>
                <w:highlight w:val="none"/>
                <w:u w:val="none"/>
                <w:lang w:val="en-US" w:eastAsia="zh-CN" w:bidi="ar-SA"/>
              </w:rPr>
            </w:pPr>
            <w:r>
              <w:rPr>
                <w:rFonts w:hint="default" w:ascii="Times New Roman" w:hAnsi="Times New Roman" w:eastAsia="宋体" w:cs="Times New Roman"/>
                <w:b w:val="0"/>
                <w:i w:val="0"/>
                <w:snapToGrid/>
                <w:color w:val="auto"/>
                <w:sz w:val="21"/>
                <w:szCs w:val="21"/>
                <w:highlight w:val="none"/>
                <w:u w:val="none"/>
                <w:lang w:val="en-US" w:eastAsia="zh-CN"/>
              </w:rPr>
              <w:t>二氧化氯</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2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2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937" w:beforeLines="300" w:line="360" w:lineRule="auto"/>
        <w:jc w:val="left"/>
        <w:textAlignment w:val="auto"/>
        <w:outlineLvl w:val="1"/>
        <w:rPr>
          <w:rFonts w:hint="default" w:ascii="Times New Roman" w:hAnsi="Times New Roman" w:eastAsia="宋体" w:cs="Times New Roman"/>
          <w:b/>
          <w:bCs/>
          <w:kern w:val="0"/>
          <w:sz w:val="28"/>
          <w:szCs w:val="28"/>
          <w:highlight w:val="none"/>
          <w:lang w:val="en-US" w:eastAsia="zh-CN"/>
        </w:rPr>
      </w:pPr>
      <w:r>
        <w:rPr>
          <w:rFonts w:hint="eastAsia" w:ascii="Times New Roman" w:hAnsi="Times New Roman" w:eastAsia="宋体" w:cs="Times New Roman"/>
          <w:b/>
          <w:bCs/>
          <w:kern w:val="0"/>
          <w:sz w:val="28"/>
          <w:szCs w:val="28"/>
          <w:highlight w:val="none"/>
          <w:lang w:val="en-US" w:eastAsia="zh-CN"/>
        </w:rPr>
        <w:t>3、检测结果分析</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highlight w:val="none"/>
          <w:lang w:val="en-US" w:eastAsia="zh-CN"/>
        </w:rPr>
        <w:t>根据</w:t>
      </w:r>
      <w:r>
        <w:rPr>
          <w:rFonts w:hint="eastAsia" w:ascii="Times New Roman" w:hAnsi="Times New Roman" w:eastAsia="宋体" w:cs="Times New Roman"/>
          <w:sz w:val="24"/>
          <w:szCs w:val="24"/>
          <w:highlight w:val="none"/>
          <w:lang w:val="en-US" w:eastAsia="zh-CN"/>
        </w:rPr>
        <w:t>以上</w:t>
      </w:r>
      <w:r>
        <w:rPr>
          <w:rFonts w:hint="default" w:ascii="Times New Roman" w:hAnsi="Times New Roman" w:eastAsia="宋体" w:cs="Times New Roman"/>
          <w:sz w:val="24"/>
          <w:szCs w:val="24"/>
          <w:highlight w:val="none"/>
          <w:lang w:val="en-US" w:eastAsia="zh-CN"/>
        </w:rPr>
        <w:t>检测结果，本次</w:t>
      </w:r>
      <w:r>
        <w:rPr>
          <w:rFonts w:hint="default" w:ascii="Times New Roman" w:hAnsi="Times New Roman" w:eastAsia="宋体" w:cs="Times New Roman"/>
          <w:color w:val="000000"/>
          <w:sz w:val="24"/>
          <w:szCs w:val="24"/>
          <w:highlight w:val="none"/>
          <w:lang w:eastAsia="zh-CN" w:bidi="ar"/>
        </w:rPr>
        <w:t>沈阳市水务局2024年城市公共供水水质抽样检测项目</w:t>
      </w:r>
      <w:r>
        <w:rPr>
          <w:rFonts w:hint="default" w:ascii="Times New Roman" w:hAnsi="Times New Roman" w:eastAsia="宋体" w:cs="Times New Roman"/>
          <w:color w:val="000000"/>
          <w:sz w:val="24"/>
          <w:szCs w:val="24"/>
          <w:highlight w:val="none"/>
          <w:lang w:val="en-US" w:eastAsia="zh-CN" w:bidi="ar"/>
        </w:rPr>
        <w:t>第一季度随机抽取的20处城市供水管网末梢水43项指标检测中：</w:t>
      </w:r>
      <w:r>
        <w:rPr>
          <w:rFonts w:hint="default" w:ascii="Times New Roman" w:hAnsi="Times New Roman" w:eastAsia="宋体" w:cs="Times New Roman"/>
          <w:b w:val="0"/>
          <w:bCs w:val="0"/>
          <w:color w:val="auto"/>
          <w:sz w:val="24"/>
          <w:szCs w:val="24"/>
          <w:highlight w:val="none"/>
          <w:vertAlign w:val="baseline"/>
          <w:lang w:val="en-US" w:eastAsia="zh-CN"/>
        </w:rPr>
        <w:t>所有检测项目均符合《生活饮用水卫生标准》（GB5749-2022）标准要求，检测结果达标，达标率100%。</w:t>
      </w:r>
    </w:p>
    <w:p>
      <w:pPr>
        <w:pStyle w:val="9"/>
        <w:keepNext w:val="0"/>
        <w:keepLines w:val="0"/>
        <w:pageBreakBefore w:val="0"/>
        <w:widowControl w:val="0"/>
        <w:numPr>
          <w:ilvl w:val="0"/>
          <w:numId w:val="1"/>
        </w:numPr>
        <w:kinsoku/>
        <w:wordWrap/>
        <w:overflowPunct/>
        <w:topLinePunct w:val="0"/>
        <w:bidi w:val="0"/>
        <w:snapToGrid/>
        <w:spacing w:line="360" w:lineRule="auto"/>
        <w:ind w:left="0" w:leftChars="0" w:firstLine="0" w:firstLineChars="0"/>
        <w:jc w:val="both"/>
        <w:textAlignment w:val="auto"/>
        <w:outlineLvl w:val="0"/>
        <w:rPr>
          <w:rFonts w:hint="eastAsia" w:ascii="Times New Roman" w:eastAsia="宋体" w:cs="Times New Roman"/>
          <w:b/>
          <w:bCs/>
          <w:color w:val="auto"/>
          <w:sz w:val="30"/>
          <w:szCs w:val="30"/>
          <w:highlight w:val="none"/>
          <w:lang w:val="en-US" w:eastAsia="zh-CN"/>
        </w:rPr>
      </w:pPr>
      <w:r>
        <w:rPr>
          <w:rFonts w:hint="eastAsia" w:ascii="Times New Roman" w:eastAsia="宋体" w:cs="Times New Roman"/>
          <w:b/>
          <w:bCs/>
          <w:color w:val="auto"/>
          <w:sz w:val="30"/>
          <w:szCs w:val="30"/>
          <w:highlight w:val="none"/>
          <w:lang w:val="en-US" w:eastAsia="zh-CN"/>
        </w:rPr>
        <w:t>建议</w:t>
      </w:r>
    </w:p>
    <w:p>
      <w:pPr>
        <w:numPr>
          <w:ilvl w:val="0"/>
          <w:numId w:val="2"/>
        </w:numPr>
        <w:spacing w:line="360" w:lineRule="auto"/>
        <w:ind w:firstLine="480" w:firstLineChars="200"/>
        <w:rPr>
          <w:rFonts w:hint="eastAsia" w:ascii="Times New Roman" w:hAnsi="Times New Roman" w:eastAsia="宋体" w:cs="Times New Roman"/>
          <w:color w:val="000000"/>
          <w:sz w:val="24"/>
          <w:szCs w:val="24"/>
          <w:highlight w:val="none"/>
          <w:lang w:val="en-US" w:eastAsia="zh-CN" w:bidi="ar"/>
        </w:rPr>
      </w:pPr>
      <w:r>
        <w:rPr>
          <w:rFonts w:hint="eastAsia" w:ascii="Times New Roman" w:hAnsi="Times New Roman" w:eastAsia="宋体" w:cs="Times New Roman"/>
          <w:color w:val="000000"/>
          <w:sz w:val="24"/>
          <w:szCs w:val="24"/>
          <w:highlight w:val="none"/>
          <w:lang w:val="en-US" w:eastAsia="zh-CN" w:bidi="ar"/>
        </w:rPr>
        <w:t>继续加强水源地保护工作，加强农业面源和生活污染治理。</w:t>
      </w:r>
    </w:p>
    <w:p>
      <w:pPr>
        <w:numPr>
          <w:ilvl w:val="0"/>
          <w:numId w:val="2"/>
        </w:numPr>
        <w:spacing w:line="360" w:lineRule="auto"/>
        <w:ind w:firstLine="480" w:firstLineChars="200"/>
        <w:rPr>
          <w:rFonts w:hint="eastAsia" w:ascii="Times New Roman" w:hAnsi="Times New Roman" w:eastAsia="宋体" w:cs="Times New Roman"/>
          <w:color w:val="000000"/>
          <w:sz w:val="24"/>
          <w:szCs w:val="24"/>
          <w:highlight w:val="none"/>
          <w:lang w:val="en-US" w:eastAsia="zh-CN" w:bidi="ar"/>
        </w:rPr>
      </w:pPr>
      <w:r>
        <w:rPr>
          <w:rFonts w:hint="eastAsia" w:ascii="Times New Roman" w:hAnsi="Times New Roman" w:eastAsia="宋体" w:cs="Times New Roman"/>
          <w:color w:val="000000"/>
          <w:sz w:val="24"/>
          <w:szCs w:val="24"/>
          <w:highlight w:val="none"/>
          <w:lang w:val="en-US" w:eastAsia="zh-CN" w:bidi="ar"/>
        </w:rPr>
        <w:t>继续加强对供水单位的监管，指导供水单位强化制度建设，加强人员业务培训。</w:t>
      </w:r>
    </w:p>
    <w:p>
      <w:pPr>
        <w:numPr>
          <w:ilvl w:val="0"/>
          <w:numId w:val="2"/>
        </w:numPr>
        <w:spacing w:line="360" w:lineRule="auto"/>
        <w:ind w:left="0" w:leftChars="0" w:firstLine="480" w:firstLineChars="200"/>
        <w:rPr>
          <w:rFonts w:hint="eastAsia" w:ascii="Times New Roman" w:hAnsi="Times New Roman" w:eastAsia="宋体" w:cs="Times New Roman"/>
          <w:color w:val="000000"/>
          <w:sz w:val="24"/>
          <w:szCs w:val="24"/>
          <w:highlight w:val="none"/>
          <w:lang w:val="en-US" w:eastAsia="zh-CN" w:bidi="ar"/>
        </w:rPr>
      </w:pPr>
      <w:r>
        <w:rPr>
          <w:rFonts w:hint="eastAsia" w:ascii="Times New Roman" w:hAnsi="Times New Roman" w:eastAsia="宋体" w:cs="Times New Roman"/>
          <w:color w:val="000000"/>
          <w:sz w:val="24"/>
          <w:szCs w:val="24"/>
          <w:highlight w:val="none"/>
          <w:lang w:val="en-US" w:eastAsia="zh-CN" w:bidi="ar"/>
        </w:rPr>
        <w:t>继续加大水质监督和检测力度，定期检测或视情随机检测。</w:t>
      </w:r>
    </w:p>
    <w:p>
      <w:pPr>
        <w:numPr>
          <w:ilvl w:val="0"/>
          <w:numId w:val="2"/>
        </w:numPr>
        <w:spacing w:line="360" w:lineRule="auto"/>
        <w:ind w:left="0" w:leftChars="0" w:firstLine="480" w:firstLineChars="200"/>
        <w:rPr>
          <w:rFonts w:hint="eastAsia" w:ascii="Times New Roman" w:hAnsi="Times New Roman" w:eastAsia="宋体" w:cs="Times New Roman"/>
          <w:color w:val="000000"/>
          <w:sz w:val="24"/>
          <w:szCs w:val="24"/>
          <w:highlight w:val="none"/>
          <w:lang w:val="en-US" w:eastAsia="zh-CN" w:bidi="ar"/>
        </w:rPr>
      </w:pPr>
      <w:r>
        <w:rPr>
          <w:rFonts w:hint="eastAsia" w:ascii="Times New Roman" w:hAnsi="Times New Roman" w:eastAsia="宋体" w:cs="Times New Roman"/>
          <w:color w:val="000000"/>
          <w:sz w:val="24"/>
          <w:szCs w:val="24"/>
          <w:highlight w:val="none"/>
          <w:lang w:val="en-US" w:eastAsia="zh-CN" w:bidi="ar"/>
        </w:rPr>
        <w:t>继续加大老旧水管网的改造更换力度，确保不因管网原因影响水质。</w:t>
      </w:r>
    </w:p>
    <w:p>
      <w:pPr>
        <w:spacing w:line="360" w:lineRule="auto"/>
        <w:ind w:firstLine="480" w:firstLineChars="200"/>
        <w:rPr>
          <w:rFonts w:hint="default" w:ascii="Times New Roman" w:hAnsi="Times New Roman" w:eastAsia="宋体" w:cs="Times New Roman"/>
          <w:color w:val="000000"/>
          <w:sz w:val="24"/>
          <w:szCs w:val="24"/>
          <w:highlight w:val="none"/>
          <w:lang w:val="en-US" w:eastAsia="zh-CN" w:bidi="ar"/>
        </w:rPr>
      </w:pPr>
    </w:p>
    <w:p>
      <w:pPr>
        <w:pStyle w:val="8"/>
        <w:rPr>
          <w:rFonts w:hint="default" w:ascii="Times New Roman" w:hAnsi="Times New Roman" w:eastAsia="宋体" w:cs="Times New Roman"/>
          <w:b/>
          <w:bCs/>
          <w:color w:val="auto"/>
          <w:sz w:val="30"/>
          <w:szCs w:val="30"/>
          <w:highlight w:val="none"/>
          <w:lang w:val="en-US" w:eastAsia="zh-CN"/>
        </w:rPr>
      </w:pPr>
    </w:p>
    <w:p>
      <w:pPr>
        <w:pStyle w:val="9"/>
        <w:rPr>
          <w:rFonts w:hint="default" w:ascii="Times New Roman" w:hAnsi="Times New Roman" w:eastAsia="宋体" w:cs="Times New Roman"/>
          <w:b/>
          <w:bCs/>
          <w:color w:val="auto"/>
          <w:sz w:val="30"/>
          <w:szCs w:val="30"/>
          <w:highlight w:val="none"/>
          <w:lang w:val="en-US" w:eastAsia="zh-CN"/>
        </w:rPr>
      </w:pPr>
    </w:p>
    <w:p>
      <w:pPr>
        <w:rPr>
          <w:rFonts w:hint="default" w:ascii="Times New Roman" w:hAnsi="Times New Roman" w:eastAsia="宋体" w:cs="Times New Roman"/>
          <w:b/>
          <w:bCs/>
          <w:color w:val="auto"/>
          <w:sz w:val="30"/>
          <w:szCs w:val="30"/>
          <w:highlight w:val="none"/>
          <w:lang w:val="en-US" w:eastAsia="zh-CN"/>
        </w:rPr>
      </w:pPr>
    </w:p>
    <w:p>
      <w:pPr>
        <w:pStyle w:val="8"/>
        <w:rPr>
          <w:rFonts w:hint="default" w:ascii="Times New Roman" w:hAnsi="Times New Roman" w:eastAsia="宋体" w:cs="Times New Roman"/>
          <w:b/>
          <w:bCs/>
          <w:color w:val="auto"/>
          <w:sz w:val="30"/>
          <w:szCs w:val="30"/>
          <w:highlight w:val="none"/>
          <w:lang w:val="en-US" w:eastAsia="zh-CN"/>
        </w:rPr>
      </w:pPr>
    </w:p>
    <w:p>
      <w:pPr>
        <w:pStyle w:val="9"/>
        <w:rPr>
          <w:rFonts w:hint="default" w:ascii="Times New Roman" w:hAnsi="Times New Roman" w:eastAsia="宋体" w:cs="Times New Roman"/>
          <w:b/>
          <w:bCs/>
          <w:color w:val="auto"/>
          <w:sz w:val="30"/>
          <w:szCs w:val="30"/>
          <w:highlight w:val="none"/>
          <w:lang w:val="en-US" w:eastAsia="zh-CN"/>
        </w:rPr>
      </w:pPr>
    </w:p>
    <w:p>
      <w:pPr>
        <w:rPr>
          <w:rFonts w:hint="default" w:ascii="Times New Roman" w:hAnsi="Times New Roman" w:eastAsia="宋体" w:cs="Times New Roman"/>
          <w:b/>
          <w:bCs/>
          <w:color w:val="auto"/>
          <w:sz w:val="30"/>
          <w:szCs w:val="30"/>
          <w:highlight w:val="none"/>
          <w:lang w:val="en-US" w:eastAsia="zh-CN"/>
        </w:rPr>
      </w:pPr>
    </w:p>
    <w:p>
      <w:pPr>
        <w:pStyle w:val="8"/>
        <w:rPr>
          <w:rFonts w:hint="default" w:ascii="Times New Roman" w:hAnsi="Times New Roman" w:eastAsia="宋体" w:cs="Times New Roman"/>
          <w:b/>
          <w:bCs/>
          <w:color w:val="auto"/>
          <w:sz w:val="30"/>
          <w:szCs w:val="30"/>
          <w:highlight w:val="none"/>
          <w:lang w:val="en-US" w:eastAsia="zh-CN"/>
        </w:rPr>
      </w:pPr>
    </w:p>
    <w:p>
      <w:pPr>
        <w:pStyle w:val="9"/>
        <w:ind w:left="0" w:leftChars="0" w:firstLine="0" w:firstLineChars="0"/>
        <w:jc w:val="both"/>
        <w:rPr>
          <w:rFonts w:hint="default"/>
          <w:color w:val="auto"/>
          <w:highlight w:val="none"/>
        </w:rPr>
      </w:pPr>
    </w:p>
    <w:p>
      <w:pPr>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8"/>
        <w:spacing w:line="240" w:lineRule="auto"/>
        <w:ind w:left="0" w:leftChars="0" w:firstLine="482" w:firstLineChars="200"/>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编写人：                 审核人：         </w:t>
      </w:r>
      <w:r>
        <w:rPr>
          <w:rFonts w:hint="default" w:ascii="Times New Roman" w:hAnsi="Times New Roman" w:cs="Times New Roman"/>
          <w:b/>
          <w:color w:val="auto"/>
          <w:sz w:val="24"/>
          <w:szCs w:val="24"/>
          <w:highlight w:val="none"/>
          <w:lang w:val="en-US" w:eastAsia="zh-CN"/>
        </w:rPr>
        <w:t xml:space="preserve"> </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 xml:space="preserve"> </w:t>
      </w:r>
      <w:r>
        <w:rPr>
          <w:rFonts w:hint="eastAsia" w:ascii="Times New Roman" w:hAnsi="Times New Roman" w:cs="Times New Roman"/>
          <w:b/>
          <w:color w:val="auto"/>
          <w:sz w:val="24"/>
          <w:szCs w:val="24"/>
          <w:highlight w:val="none"/>
          <w:lang w:eastAsia="zh-CN"/>
        </w:rPr>
        <w:t>签发</w:t>
      </w:r>
      <w:r>
        <w:rPr>
          <w:rFonts w:hint="default" w:ascii="Times New Roman" w:hAnsi="Times New Roman" w:cs="Times New Roman"/>
          <w:b/>
          <w:color w:val="auto"/>
          <w:sz w:val="24"/>
          <w:szCs w:val="24"/>
          <w:highlight w:val="none"/>
        </w:rPr>
        <w:t>人：</w:t>
      </w:r>
    </w:p>
    <w:p>
      <w:pPr>
        <w:spacing w:before="156" w:beforeLines="50"/>
        <w:ind w:firstLine="6026" w:firstLineChars="2501"/>
        <w:jc w:val="left"/>
        <w:rPr>
          <w:rFonts w:hint="default" w:ascii="Times New Roman" w:hAnsi="Times New Roman" w:eastAsia="宋体" w:cs="Times New Roman"/>
          <w:color w:val="auto"/>
          <w:sz w:val="24"/>
          <w:szCs w:val="24"/>
          <w:highlight w:val="none"/>
        </w:rPr>
      </w:pPr>
      <w:r>
        <w:rPr>
          <w:rFonts w:hint="default" w:ascii="Times New Roman" w:hAnsi="Times New Roman" w:cs="Times New Roman"/>
          <w:b/>
          <w:color w:val="auto"/>
          <w:sz w:val="24"/>
          <w:szCs w:val="24"/>
          <w:highlight w:val="none"/>
          <w:lang w:val="en-US" w:eastAsia="zh-CN"/>
        </w:rPr>
        <w:t xml:space="preserve">  </w:t>
      </w:r>
      <w:r>
        <w:rPr>
          <w:rFonts w:hint="eastAsia" w:ascii="Times New Roman" w:hAnsi="Times New Roman" w:cs="Times New Roman"/>
          <w:b/>
          <w:color w:val="auto"/>
          <w:sz w:val="24"/>
          <w:szCs w:val="24"/>
          <w:highlight w:val="none"/>
          <w:lang w:eastAsia="zh-CN"/>
        </w:rPr>
        <w:t>签发</w:t>
      </w:r>
      <w:r>
        <w:rPr>
          <w:rFonts w:hint="default" w:ascii="Times New Roman" w:hAnsi="Times New Roman" w:cs="Times New Roman"/>
          <w:b/>
          <w:color w:val="auto"/>
          <w:sz w:val="24"/>
          <w:szCs w:val="24"/>
          <w:highlight w:val="none"/>
        </w:rPr>
        <w:t>日期：</w:t>
      </w:r>
      <w:r>
        <w:rPr>
          <w:rFonts w:hint="default" w:ascii="Times New Roman" w:hAnsi="Times New Roman" w:cs="Times New Roman"/>
          <w:b/>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w:t>
      </w:r>
    </w:p>
    <w:p>
      <w:pPr>
        <w:jc w:val="center"/>
        <w:rPr>
          <w:color w:val="auto"/>
          <w:highlight w:val="none"/>
        </w:rPr>
      </w:pP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eastAsia="zh-CN"/>
        </w:rPr>
        <w:t>报告结束</w:t>
      </w:r>
      <w:r>
        <w:rPr>
          <w:rFonts w:hint="default" w:ascii="Times New Roman" w:hAnsi="Times New Roman" w:eastAsia="宋体" w:cs="Times New Roman"/>
          <w:color w:val="auto"/>
          <w:sz w:val="24"/>
          <w:szCs w:val="24"/>
          <w:highlight w:val="none"/>
          <w:lang w:val="en-US" w:eastAsia="zh-CN"/>
        </w:rPr>
        <w:t xml:space="preserve"> **</w:t>
      </w:r>
    </w:p>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eastAsiaTheme="minorEastAsia"/>
        <w:lang w:eastAsia="zh-CN"/>
      </w:rPr>
      <w:drawing>
        <wp:inline distT="0" distB="0" distL="114300" distR="114300">
          <wp:extent cx="887730" cy="438150"/>
          <wp:effectExtent l="0" t="0" r="7620" b="0"/>
          <wp:docPr id="2" name="图片 2" descr="1590039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0039704(1)"/>
                  <pic:cNvPicPr>
                    <a:picLocks noChangeAspect="1"/>
                  </pic:cNvPicPr>
                </pic:nvPicPr>
                <pic:blipFill>
                  <a:blip r:embed="rId1"/>
                  <a:stretch>
                    <a:fillRect/>
                  </a:stretch>
                </pic:blipFill>
                <pic:spPr>
                  <a:xfrm>
                    <a:off x="0" y="0"/>
                    <a:ext cx="887730" cy="4381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FE339"/>
    <w:multiLevelType w:val="singleLevel"/>
    <w:tmpl w:val="15FFE339"/>
    <w:lvl w:ilvl="0" w:tentative="0">
      <w:start w:val="1"/>
      <w:numFmt w:val="decimal"/>
      <w:suff w:val="nothing"/>
      <w:lvlText w:val="%1、"/>
      <w:lvlJc w:val="left"/>
    </w:lvl>
  </w:abstractNum>
  <w:abstractNum w:abstractNumId="1">
    <w:nsid w:val="791E7FD5"/>
    <w:multiLevelType w:val="singleLevel"/>
    <w:tmpl w:val="791E7FD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YWI1ZDllZjMwYTkxY2UzOWQxNWFiMzZiMGFlOTMifQ=="/>
  </w:docVars>
  <w:rsids>
    <w:rsidRoot w:val="00000000"/>
    <w:rsid w:val="010701B4"/>
    <w:rsid w:val="019738E4"/>
    <w:rsid w:val="019E09F9"/>
    <w:rsid w:val="024E47D3"/>
    <w:rsid w:val="030504B4"/>
    <w:rsid w:val="033C1CD4"/>
    <w:rsid w:val="03D34198"/>
    <w:rsid w:val="05213817"/>
    <w:rsid w:val="058A0174"/>
    <w:rsid w:val="061A2A1E"/>
    <w:rsid w:val="067C4B02"/>
    <w:rsid w:val="06EA385F"/>
    <w:rsid w:val="09C52FAD"/>
    <w:rsid w:val="0C1722FC"/>
    <w:rsid w:val="0D3610BC"/>
    <w:rsid w:val="0E7B07EE"/>
    <w:rsid w:val="0F665A53"/>
    <w:rsid w:val="0F740B9E"/>
    <w:rsid w:val="0F9A346D"/>
    <w:rsid w:val="100634BD"/>
    <w:rsid w:val="108A2388"/>
    <w:rsid w:val="10A73665"/>
    <w:rsid w:val="10E15DF3"/>
    <w:rsid w:val="12CA7F83"/>
    <w:rsid w:val="15D31223"/>
    <w:rsid w:val="15D32EB7"/>
    <w:rsid w:val="1630564C"/>
    <w:rsid w:val="175772DB"/>
    <w:rsid w:val="17B26F26"/>
    <w:rsid w:val="1A066F44"/>
    <w:rsid w:val="1A7075C9"/>
    <w:rsid w:val="1AAB0BB9"/>
    <w:rsid w:val="1C6D045B"/>
    <w:rsid w:val="1C98004D"/>
    <w:rsid w:val="1D8D5B41"/>
    <w:rsid w:val="20B41BC5"/>
    <w:rsid w:val="20C4156B"/>
    <w:rsid w:val="213B04D2"/>
    <w:rsid w:val="21E021EB"/>
    <w:rsid w:val="23323A4B"/>
    <w:rsid w:val="24660352"/>
    <w:rsid w:val="256C638A"/>
    <w:rsid w:val="267A1864"/>
    <w:rsid w:val="26DD5A94"/>
    <w:rsid w:val="2858769A"/>
    <w:rsid w:val="29236810"/>
    <w:rsid w:val="2AFD32CF"/>
    <w:rsid w:val="2B34219F"/>
    <w:rsid w:val="2B3C5143"/>
    <w:rsid w:val="2C5D2A08"/>
    <w:rsid w:val="2D746EF7"/>
    <w:rsid w:val="2F0225B0"/>
    <w:rsid w:val="2F30420C"/>
    <w:rsid w:val="2F91401B"/>
    <w:rsid w:val="303B7198"/>
    <w:rsid w:val="30414C18"/>
    <w:rsid w:val="30604340"/>
    <w:rsid w:val="3289118B"/>
    <w:rsid w:val="33841908"/>
    <w:rsid w:val="33AD55C7"/>
    <w:rsid w:val="342710B0"/>
    <w:rsid w:val="34480E6C"/>
    <w:rsid w:val="347144E8"/>
    <w:rsid w:val="34BD6BF7"/>
    <w:rsid w:val="35944042"/>
    <w:rsid w:val="35D67699"/>
    <w:rsid w:val="35EB1972"/>
    <w:rsid w:val="36331FDA"/>
    <w:rsid w:val="385837FB"/>
    <w:rsid w:val="39FA7143"/>
    <w:rsid w:val="3B4036D2"/>
    <w:rsid w:val="3BCE5815"/>
    <w:rsid w:val="3D7430F2"/>
    <w:rsid w:val="3D8067FE"/>
    <w:rsid w:val="3EA91DBA"/>
    <w:rsid w:val="3EBF42F4"/>
    <w:rsid w:val="3EF912A8"/>
    <w:rsid w:val="3F2D60FA"/>
    <w:rsid w:val="3F4473A4"/>
    <w:rsid w:val="3FEE15C8"/>
    <w:rsid w:val="4020425F"/>
    <w:rsid w:val="405A4F52"/>
    <w:rsid w:val="41F8633F"/>
    <w:rsid w:val="420F48E4"/>
    <w:rsid w:val="42714EB4"/>
    <w:rsid w:val="429E5BDF"/>
    <w:rsid w:val="42BF39DC"/>
    <w:rsid w:val="430B6B84"/>
    <w:rsid w:val="43310EEC"/>
    <w:rsid w:val="44CD522E"/>
    <w:rsid w:val="45F627CF"/>
    <w:rsid w:val="46F02C09"/>
    <w:rsid w:val="497C0D3C"/>
    <w:rsid w:val="49853976"/>
    <w:rsid w:val="49DD60C4"/>
    <w:rsid w:val="4A0D478E"/>
    <w:rsid w:val="4A2362AE"/>
    <w:rsid w:val="4A517B26"/>
    <w:rsid w:val="4ACD31F7"/>
    <w:rsid w:val="4B8F35DB"/>
    <w:rsid w:val="4BC2099E"/>
    <w:rsid w:val="4DB97363"/>
    <w:rsid w:val="4E065717"/>
    <w:rsid w:val="4FDB0777"/>
    <w:rsid w:val="50303CBF"/>
    <w:rsid w:val="507E74DA"/>
    <w:rsid w:val="51F555DF"/>
    <w:rsid w:val="52155CE2"/>
    <w:rsid w:val="527611F3"/>
    <w:rsid w:val="52EC1E9B"/>
    <w:rsid w:val="534D15F3"/>
    <w:rsid w:val="540E0DA2"/>
    <w:rsid w:val="55176681"/>
    <w:rsid w:val="552B528C"/>
    <w:rsid w:val="57414BC1"/>
    <w:rsid w:val="57A87103"/>
    <w:rsid w:val="585D12D9"/>
    <w:rsid w:val="58FA12B2"/>
    <w:rsid w:val="59365358"/>
    <w:rsid w:val="597C7523"/>
    <w:rsid w:val="5AFC004F"/>
    <w:rsid w:val="5B2B313A"/>
    <w:rsid w:val="5B88070B"/>
    <w:rsid w:val="5BAF7FD4"/>
    <w:rsid w:val="5C0C1740"/>
    <w:rsid w:val="5CF05425"/>
    <w:rsid w:val="5D8B52E7"/>
    <w:rsid w:val="5F1C4F39"/>
    <w:rsid w:val="5FA44939"/>
    <w:rsid w:val="5FE20AB4"/>
    <w:rsid w:val="60E370AB"/>
    <w:rsid w:val="62C83B73"/>
    <w:rsid w:val="633D68C2"/>
    <w:rsid w:val="634647C4"/>
    <w:rsid w:val="654E3F8B"/>
    <w:rsid w:val="66773121"/>
    <w:rsid w:val="66F0574C"/>
    <w:rsid w:val="67074387"/>
    <w:rsid w:val="685D409A"/>
    <w:rsid w:val="68E7622F"/>
    <w:rsid w:val="6999217D"/>
    <w:rsid w:val="69DF780A"/>
    <w:rsid w:val="6AAD5C7C"/>
    <w:rsid w:val="6B0C5807"/>
    <w:rsid w:val="6BD864AC"/>
    <w:rsid w:val="6C4A510B"/>
    <w:rsid w:val="6C851557"/>
    <w:rsid w:val="6CBD4D4F"/>
    <w:rsid w:val="70A94143"/>
    <w:rsid w:val="723973EC"/>
    <w:rsid w:val="72C936E0"/>
    <w:rsid w:val="75252778"/>
    <w:rsid w:val="7659061D"/>
    <w:rsid w:val="7824677C"/>
    <w:rsid w:val="785452DC"/>
    <w:rsid w:val="78AB372E"/>
    <w:rsid w:val="7CD44912"/>
    <w:rsid w:val="7D7D4BCE"/>
    <w:rsid w:val="7E5F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44"/>
    </w:rPr>
  </w:style>
  <w:style w:type="paragraph" w:styleId="4">
    <w:name w:val="heading 3"/>
    <w:basedOn w:val="1"/>
    <w:next w:val="1"/>
    <w:link w:val="30"/>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0正文"/>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styleId="5">
    <w:name w:val="Body Text"/>
    <w:basedOn w:val="1"/>
    <w:next w:val="6"/>
    <w:qFormat/>
    <w:uiPriority w:val="0"/>
    <w:pPr>
      <w:autoSpaceDE w:val="0"/>
      <w:autoSpaceDN w:val="0"/>
      <w:adjustRightInd w:val="0"/>
      <w:jc w:val="center"/>
    </w:pPr>
    <w:rPr>
      <w:rFonts w:ascii="楷体_GB2312" w:hAnsi="Times New Roman" w:eastAsia="楷体_GB2312" w:cs="Times New Roman"/>
      <w:color w:val="000000"/>
      <w:kern w:val="0"/>
      <w:sz w:val="24"/>
      <w:szCs w:val="21"/>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Indent"/>
    <w:basedOn w:val="1"/>
    <w:qFormat/>
    <w:uiPriority w:val="0"/>
    <w:pPr>
      <w:ind w:firstLine="640" w:firstLineChars="200"/>
    </w:pPr>
    <w:rPr>
      <w:rFonts w:ascii="仿宋_GB2312" w:eastAsia="仿宋_GB2312"/>
      <w:kern w:val="0"/>
      <w:sz w:val="32"/>
      <w:szCs w:val="20"/>
    </w:rPr>
  </w:style>
  <w:style w:type="paragraph" w:styleId="8">
    <w:name w:val="Body Text Indent 2"/>
    <w:basedOn w:val="1"/>
    <w:next w:val="9"/>
    <w:qFormat/>
    <w:uiPriority w:val="0"/>
    <w:pPr>
      <w:spacing w:after="120" w:line="480" w:lineRule="auto"/>
      <w:ind w:left="420"/>
    </w:pPr>
  </w:style>
  <w:style w:type="paragraph" w:styleId="9">
    <w:name w:val="Body Text First Indent"/>
    <w:basedOn w:val="5"/>
    <w:next w:val="1"/>
    <w:unhideWhenUsed/>
    <w:qFormat/>
    <w:uiPriority w:val="99"/>
    <w:pPr>
      <w:ind w:firstLine="420" w:firstLineChars="1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spacing w:after="120" w:line="480" w:lineRule="auto"/>
    </w:pPr>
  </w:style>
  <w:style w:type="paragraph" w:styleId="13">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4">
    <w:name w:val="Body Text First Indent 2"/>
    <w:basedOn w:val="7"/>
    <w:qFormat/>
    <w:uiPriority w:val="0"/>
    <w:pPr>
      <w:spacing w:after="120"/>
      <w:ind w:left="420" w:leftChars="200" w:firstLine="420"/>
    </w:pPr>
    <w:rPr>
      <w:sz w:val="21"/>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TML Sample"/>
    <w:qFormat/>
    <w:uiPriority w:val="0"/>
    <w:rPr>
      <w:rFonts w:ascii="Courier New" w:hAnsi="Courier New" w:eastAsia="仿宋" w:cs="Courier New"/>
      <w:sz w:val="24"/>
    </w:rPr>
  </w:style>
  <w:style w:type="paragraph" w:customStyle="1" w:styleId="19">
    <w:name w:val="样式 样式 左侧:  2 字符 + 左侧:  0.85 厘米 首行缩进:  2 字符1"/>
    <w:basedOn w:val="1"/>
    <w:qFormat/>
    <w:uiPriority w:val="0"/>
    <w:pPr>
      <w:ind w:left="482" w:firstLine="200" w:firstLineChars="200"/>
    </w:pPr>
    <w:rPr>
      <w:rFonts w:ascii="Times New Roman" w:hAnsi="Times New Roman"/>
      <w:szCs w:val="20"/>
    </w:rPr>
  </w:style>
  <w:style w:type="paragraph" w:customStyle="1" w:styleId="20">
    <w:name w:val="Other|1"/>
    <w:basedOn w:val="1"/>
    <w:qFormat/>
    <w:uiPriority w:val="0"/>
    <w:pPr>
      <w:widowControl w:val="0"/>
      <w:shd w:val="clear" w:color="auto" w:fill="auto"/>
      <w:spacing w:after="60" w:line="326" w:lineRule="auto"/>
      <w:ind w:firstLine="400"/>
    </w:pPr>
    <w:rPr>
      <w:rFonts w:ascii="宋体" w:hAnsi="宋体" w:eastAsia="宋体" w:cs="宋体"/>
      <w:sz w:val="20"/>
      <w:szCs w:val="20"/>
      <w:u w:val="none"/>
      <w:shd w:val="clear" w:color="auto" w:fill="auto"/>
      <w:lang w:val="zh-TW" w:eastAsia="zh-TW" w:bidi="zh-TW"/>
    </w:rPr>
  </w:style>
  <w:style w:type="paragraph" w:customStyle="1" w:styleId="21">
    <w:name w:val="Body text|4"/>
    <w:basedOn w:val="1"/>
    <w:qFormat/>
    <w:uiPriority w:val="0"/>
    <w:pPr>
      <w:widowControl w:val="0"/>
      <w:shd w:val="clear" w:color="auto" w:fill="auto"/>
      <w:spacing w:after="180"/>
      <w:ind w:firstLine="360"/>
    </w:pPr>
    <w:rPr>
      <w:rFonts w:ascii="宋体" w:hAnsi="宋体" w:eastAsia="宋体" w:cs="宋体"/>
      <w:sz w:val="17"/>
      <w:szCs w:val="17"/>
      <w:u w:val="none"/>
      <w:shd w:val="clear" w:color="auto" w:fill="auto"/>
      <w:lang w:val="zh-TW" w:eastAsia="zh-TW" w:bidi="zh-TW"/>
    </w:rPr>
  </w:style>
  <w:style w:type="character" w:customStyle="1" w:styleId="22">
    <w:name w:val="font11"/>
    <w:basedOn w:val="17"/>
    <w:qFormat/>
    <w:uiPriority w:val="0"/>
    <w:rPr>
      <w:rFonts w:hint="eastAsia" w:ascii="宋体" w:hAnsi="宋体" w:eastAsia="宋体" w:cs="宋体"/>
      <w:color w:val="000000"/>
      <w:sz w:val="22"/>
      <w:szCs w:val="22"/>
      <w:u w:val="none"/>
    </w:rPr>
  </w:style>
  <w:style w:type="character" w:customStyle="1" w:styleId="23">
    <w:name w:val="font21"/>
    <w:basedOn w:val="17"/>
    <w:qFormat/>
    <w:uiPriority w:val="0"/>
    <w:rPr>
      <w:rFonts w:hint="eastAsia" w:ascii="宋体" w:hAnsi="宋体" w:eastAsia="宋体" w:cs="宋体"/>
      <w:b/>
      <w:bCs/>
      <w:color w:val="000000"/>
      <w:sz w:val="22"/>
      <w:szCs w:val="22"/>
      <w:u w:val="none"/>
    </w:rPr>
  </w:style>
  <w:style w:type="character" w:customStyle="1" w:styleId="24">
    <w:name w:val="font31"/>
    <w:basedOn w:val="17"/>
    <w:qFormat/>
    <w:uiPriority w:val="0"/>
    <w:rPr>
      <w:rFonts w:hint="default" w:ascii="Times New Roman" w:hAnsi="Times New Roman" w:cs="Times New Roman"/>
      <w:b/>
      <w:bCs/>
      <w:color w:val="000000"/>
      <w:sz w:val="22"/>
      <w:szCs w:val="22"/>
      <w:u w:val="none"/>
    </w:rPr>
  </w:style>
  <w:style w:type="character" w:customStyle="1" w:styleId="25">
    <w:name w:val="font41"/>
    <w:basedOn w:val="17"/>
    <w:qFormat/>
    <w:uiPriority w:val="0"/>
    <w:rPr>
      <w:rFonts w:hint="eastAsia" w:ascii="宋体" w:hAnsi="宋体" w:eastAsia="宋体" w:cs="宋体"/>
      <w:b/>
      <w:bCs/>
      <w:color w:val="000000"/>
      <w:sz w:val="22"/>
      <w:szCs w:val="22"/>
      <w:u w:val="none"/>
    </w:rPr>
  </w:style>
  <w:style w:type="character" w:customStyle="1" w:styleId="26">
    <w:name w:val="font51"/>
    <w:basedOn w:val="17"/>
    <w:qFormat/>
    <w:uiPriority w:val="0"/>
    <w:rPr>
      <w:rFonts w:hint="eastAsia" w:ascii="宋体" w:hAnsi="宋体" w:eastAsia="宋体" w:cs="宋体"/>
      <w:b/>
      <w:bCs/>
      <w:color w:val="FF0000"/>
      <w:sz w:val="22"/>
      <w:szCs w:val="22"/>
      <w:u w:val="none"/>
    </w:rPr>
  </w:style>
  <w:style w:type="character" w:customStyle="1" w:styleId="27">
    <w:name w:val="font01"/>
    <w:basedOn w:val="17"/>
    <w:qFormat/>
    <w:uiPriority w:val="0"/>
    <w:rPr>
      <w:rFonts w:hint="default" w:ascii="Times New Roman" w:hAnsi="Times New Roman" w:cs="Times New Roman"/>
      <w:b/>
      <w:bCs/>
      <w:color w:val="FF0000"/>
      <w:sz w:val="22"/>
      <w:szCs w:val="22"/>
      <w:u w:val="none"/>
    </w:rPr>
  </w:style>
  <w:style w:type="character" w:customStyle="1" w:styleId="28">
    <w:name w:val="font71"/>
    <w:basedOn w:val="17"/>
    <w:qFormat/>
    <w:uiPriority w:val="0"/>
    <w:rPr>
      <w:rFonts w:hint="default" w:ascii="Times New Roman" w:hAnsi="Times New Roman" w:cs="Times New Roman"/>
      <w:b/>
      <w:bCs/>
      <w:color w:val="000000"/>
      <w:sz w:val="24"/>
      <w:szCs w:val="24"/>
      <w:u w:val="none"/>
    </w:rPr>
  </w:style>
  <w:style w:type="character" w:customStyle="1" w:styleId="29">
    <w:name w:val="font91"/>
    <w:basedOn w:val="17"/>
    <w:qFormat/>
    <w:uiPriority w:val="0"/>
    <w:rPr>
      <w:rFonts w:hint="eastAsia" w:ascii="宋体" w:hAnsi="宋体" w:eastAsia="宋体" w:cs="宋体"/>
      <w:b/>
      <w:bCs/>
      <w:color w:val="000000"/>
      <w:sz w:val="24"/>
      <w:szCs w:val="24"/>
      <w:u w:val="none"/>
    </w:rPr>
  </w:style>
  <w:style w:type="character" w:customStyle="1" w:styleId="30">
    <w:name w:val="标题 3 Char"/>
    <w:link w:val="4"/>
    <w:qFormat/>
    <w:uiPriority w:val="0"/>
    <w:rPr>
      <w:b/>
      <w:sz w:val="32"/>
    </w:rPr>
  </w:style>
  <w:style w:type="character" w:customStyle="1" w:styleId="31">
    <w:name w:val="font81"/>
    <w:basedOn w:val="17"/>
    <w:qFormat/>
    <w:uiPriority w:val="0"/>
    <w:rPr>
      <w:rFonts w:hint="eastAsia" w:ascii="宋体" w:hAnsi="宋体" w:eastAsia="宋体" w:cs="宋体"/>
      <w:b/>
      <w:bCs/>
      <w:color w:val="000000"/>
      <w:sz w:val="22"/>
      <w:szCs w:val="22"/>
      <w:u w:val="none"/>
    </w:rPr>
  </w:style>
  <w:style w:type="paragraph" w:customStyle="1" w:styleId="32">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15907</Words>
  <Characters>28152</Characters>
  <Lines>0</Lines>
  <Paragraphs>0</Paragraphs>
  <TotalTime>0</TotalTime>
  <ScaleCrop>false</ScaleCrop>
  <LinksUpToDate>false</LinksUpToDate>
  <CharactersWithSpaces>28307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2021-03-01T02:10:00Z</dcterms:created>
  <dc:creator>Administrator</dc:creator>
  <cp:lastModifiedBy>╮勾勾手◇◆</cp:lastModifiedBy>
  <cp:lastPrinted>2023-04-07T01:01:00Z</cp:lastPrinted>
  <dcterms:modified xsi:type="dcterms:W3CDTF">2024-03-30T07:31:23Z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996143FFD8C34E99AFB7C894977A6B31</vt:lpwstr>
  </property>
  <property fmtid="{D5CDD505-2E9C-101B-9397-08002B2CF9AE}" pid="4" name="commondata">
    <vt:lpwstr>eyJoZGlkIjoiZTY5YWI1ZDllZjMwYTkxY2UzOWQxNWFiMzZiMGFlOTMifQ==</vt:lpwstr>
  </property>
</Properties>
</file>