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lang w:val="en-US" w:eastAsia="zh-CN"/>
        </w:rPr>
      </w:pPr>
    </w:p>
    <w:p>
      <w:pPr>
        <w:rPr>
          <w:rFonts w:hint="eastAsia"/>
          <w:lang w:val="en-US" w:eastAsia="zh-CN"/>
        </w:rPr>
      </w:pPr>
    </w:p>
    <w:p>
      <w:pPr>
        <w:spacing w:line="360" w:lineRule="auto"/>
        <w:jc w:val="both"/>
        <w:rPr>
          <w:rFonts w:hint="eastAsia" w:ascii="宋体" w:hAnsi="宋体" w:eastAsia="宋体" w:cs="宋体"/>
          <w:b/>
          <w:bCs/>
          <w:color w:val="auto"/>
          <w:sz w:val="52"/>
          <w:szCs w:val="52"/>
          <w:highlight w:val="none"/>
          <w:lang w:val="en-US" w:eastAsia="zh-CN"/>
        </w:rPr>
      </w:pPr>
    </w:p>
    <w:p>
      <w:pPr>
        <w:keepNext w:val="0"/>
        <w:keepLines w:val="0"/>
        <w:widowControl/>
        <w:suppressLineNumbers w:val="0"/>
        <w:jc w:val="left"/>
        <w:rPr>
          <w:color w:val="auto"/>
          <w:highlight w:val="none"/>
        </w:rPr>
      </w:pPr>
    </w:p>
    <w:p>
      <w:pPr>
        <w:spacing w:line="360" w:lineRule="auto"/>
        <w:jc w:val="center"/>
        <w:rPr>
          <w:rFonts w:hint="eastAsia" w:ascii="Times New Roman" w:hAnsi="Times New Roman" w:eastAsia="宋体" w:cs="Times New Roman"/>
          <w:b/>
          <w:bCs/>
          <w:color w:val="auto"/>
          <w:kern w:val="2"/>
          <w:sz w:val="36"/>
          <w:szCs w:val="36"/>
          <w:highlight w:val="none"/>
          <w:lang w:val="en-US" w:eastAsia="zh-CN" w:bidi="ar-SA"/>
        </w:rPr>
      </w:pPr>
      <w:r>
        <w:rPr>
          <w:rFonts w:hint="eastAsia" w:ascii="Times New Roman" w:hAnsi="Times New Roman" w:eastAsia="宋体" w:cs="Times New Roman"/>
          <w:b/>
          <w:bCs/>
          <w:color w:val="auto"/>
          <w:kern w:val="2"/>
          <w:sz w:val="36"/>
          <w:szCs w:val="36"/>
          <w:highlight w:val="none"/>
          <w:lang w:val="en-US" w:eastAsia="zh-CN" w:bidi="ar-SA"/>
        </w:rPr>
        <w:t>沈阳市水务局2024年城市公共供水水质抽样检测项目</w:t>
      </w:r>
    </w:p>
    <w:p>
      <w:pPr>
        <w:spacing w:line="360" w:lineRule="auto"/>
        <w:jc w:val="center"/>
        <w:rPr>
          <w:rFonts w:hint="eastAsia" w:ascii="宋体" w:hAnsi="宋体" w:eastAsia="宋体" w:cs="宋体"/>
          <w:b/>
          <w:bCs/>
          <w:color w:val="auto"/>
          <w:sz w:val="36"/>
          <w:szCs w:val="36"/>
          <w:highlight w:val="none"/>
          <w:lang w:val="en-US" w:eastAsia="zh-CN"/>
        </w:rPr>
      </w:pPr>
      <w:r>
        <w:rPr>
          <w:rFonts w:hint="eastAsia" w:ascii="Times New Roman" w:hAnsi="Times New Roman" w:eastAsia="宋体" w:cs="Times New Roman"/>
          <w:b/>
          <w:bCs/>
          <w:color w:val="auto"/>
          <w:kern w:val="2"/>
          <w:sz w:val="36"/>
          <w:szCs w:val="36"/>
          <w:highlight w:val="none"/>
          <w:lang w:val="en-US" w:eastAsia="zh-CN" w:bidi="ar-SA"/>
        </w:rPr>
        <w:t>第二季度水质分析报告</w:t>
      </w:r>
    </w:p>
    <w:p>
      <w:pPr>
        <w:spacing w:line="360" w:lineRule="auto"/>
        <w:jc w:val="center"/>
        <w:rPr>
          <w:rFonts w:hint="eastAsia" w:ascii="宋体" w:hAnsi="宋体" w:eastAsia="宋体" w:cs="宋体"/>
          <w:b/>
          <w:bCs/>
          <w:color w:val="auto"/>
          <w:sz w:val="44"/>
          <w:szCs w:val="44"/>
          <w:highlight w:val="none"/>
          <w:lang w:val="en-US" w:eastAsia="zh-CN"/>
        </w:rPr>
      </w:pPr>
    </w:p>
    <w:p>
      <w:pPr>
        <w:pStyle w:val="8"/>
        <w:rPr>
          <w:rFonts w:hint="eastAsia" w:ascii="宋体" w:hAnsi="宋体" w:eastAsia="宋体" w:cs="宋体"/>
          <w:b/>
          <w:bCs/>
          <w:color w:val="auto"/>
          <w:sz w:val="44"/>
          <w:szCs w:val="44"/>
          <w:highlight w:val="none"/>
          <w:lang w:val="en-US" w:eastAsia="zh-CN"/>
        </w:rPr>
      </w:pPr>
    </w:p>
    <w:p>
      <w:pPr>
        <w:pStyle w:val="9"/>
        <w:tabs>
          <w:tab w:val="left" w:pos="5511"/>
        </w:tabs>
        <w:jc w:val="left"/>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ab/>
      </w:r>
    </w:p>
    <w:p>
      <w:pPr>
        <w:pStyle w:val="9"/>
        <w:rPr>
          <w:rFonts w:hint="eastAsia" w:ascii="宋体" w:hAnsi="宋体" w:eastAsia="宋体" w:cs="宋体"/>
          <w:b/>
          <w:bCs/>
          <w:color w:val="auto"/>
          <w:sz w:val="44"/>
          <w:szCs w:val="44"/>
          <w:highlight w:val="none"/>
          <w:lang w:val="en-US" w:eastAsia="zh-CN"/>
        </w:rPr>
      </w:pPr>
    </w:p>
    <w:p>
      <w:pPr>
        <w:pStyle w:val="9"/>
        <w:ind w:left="0" w:leftChars="0" w:firstLine="0" w:firstLineChars="0"/>
        <w:jc w:val="both"/>
        <w:rPr>
          <w:rFonts w:hint="eastAsia" w:ascii="宋体" w:hAnsi="宋体" w:eastAsia="宋体" w:cs="宋体"/>
          <w:b/>
          <w:bCs/>
          <w:color w:val="auto"/>
          <w:sz w:val="44"/>
          <w:szCs w:val="44"/>
          <w:highlight w:val="none"/>
          <w:lang w:val="en-US" w:eastAsia="zh-CN"/>
        </w:rPr>
      </w:pPr>
    </w:p>
    <w:p>
      <w:pPr>
        <w:rPr>
          <w:rFonts w:hint="eastAsia" w:ascii="宋体" w:hAnsi="宋体" w:eastAsia="宋体" w:cs="宋体"/>
          <w:b/>
          <w:bCs/>
          <w:color w:val="auto"/>
          <w:sz w:val="44"/>
          <w:szCs w:val="44"/>
          <w:highlight w:val="none"/>
          <w:lang w:val="en-US" w:eastAsia="zh-CN"/>
        </w:rPr>
      </w:pPr>
    </w:p>
    <w:p>
      <w:pPr>
        <w:pStyle w:val="8"/>
        <w:rPr>
          <w:rFonts w:hint="eastAsia" w:ascii="宋体" w:hAnsi="宋体" w:eastAsia="宋体" w:cs="宋体"/>
          <w:b/>
          <w:bCs/>
          <w:color w:val="auto"/>
          <w:sz w:val="44"/>
          <w:szCs w:val="44"/>
          <w:highlight w:val="none"/>
          <w:lang w:val="en-US" w:eastAsia="zh-CN"/>
        </w:rPr>
      </w:pPr>
    </w:p>
    <w:p>
      <w:pPr>
        <w:pStyle w:val="9"/>
        <w:rPr>
          <w:rFonts w:hint="eastAsia" w:ascii="宋体" w:hAnsi="宋体" w:eastAsia="宋体" w:cs="宋体"/>
          <w:b/>
          <w:bCs/>
          <w:color w:val="auto"/>
          <w:sz w:val="44"/>
          <w:szCs w:val="44"/>
          <w:highlight w:val="none"/>
          <w:lang w:val="en-US" w:eastAsia="zh-CN"/>
        </w:rPr>
      </w:pPr>
    </w:p>
    <w:p>
      <w:pPr>
        <w:rPr>
          <w:rFonts w:hint="eastAsia"/>
          <w:lang w:val="en-US" w:eastAsia="zh-CN"/>
        </w:rPr>
      </w:pPr>
    </w:p>
    <w:p>
      <w:pPr>
        <w:pStyle w:val="9"/>
        <w:ind w:left="0" w:leftChars="0" w:firstLine="0" w:firstLineChars="0"/>
        <w:jc w:val="both"/>
        <w:rPr>
          <w:rFonts w:hint="eastAsia" w:ascii="宋体" w:hAnsi="宋体" w:eastAsia="宋体" w:cs="宋体"/>
          <w:b w:val="0"/>
          <w:bCs w:val="0"/>
          <w:color w:val="auto"/>
          <w:sz w:val="36"/>
          <w:szCs w:val="36"/>
          <w:highlight w:val="none"/>
          <w:lang w:val="en-US" w:eastAsia="zh-CN"/>
        </w:rPr>
      </w:pPr>
    </w:p>
    <w:p>
      <w:pPr>
        <w:pStyle w:val="13"/>
        <w:jc w:val="center"/>
        <w:rPr>
          <w:rFonts w:hint="default" w:ascii="Times New Roman" w:hAnsi="Times New Roman" w:eastAsia="宋体" w:cs="Times New Roman"/>
          <w:b/>
          <w:bCs/>
          <w:color w:val="auto"/>
          <w:sz w:val="30"/>
          <w:szCs w:val="30"/>
          <w:highlight w:val="none"/>
          <w:lang w:val="en-US" w:eastAsia="zh-CN"/>
        </w:rPr>
      </w:pPr>
      <w:r>
        <w:rPr>
          <w:rFonts w:hint="eastAsia" w:ascii="Times New Roman" w:hAnsi="Times New Roman" w:cs="Times New Roman"/>
          <w:b/>
          <w:bCs/>
          <w:color w:val="000000"/>
          <w:sz w:val="30"/>
          <w:szCs w:val="30"/>
          <w:highlight w:val="none"/>
          <w:lang w:val="en-US" w:eastAsia="zh-CN"/>
        </w:rPr>
        <w:t>编制单位：</w:t>
      </w:r>
      <w:r>
        <w:rPr>
          <w:rFonts w:hint="default" w:ascii="Times New Roman" w:hAnsi="Times New Roman" w:cs="Times New Roman"/>
          <w:b/>
          <w:bCs/>
          <w:color w:val="000000"/>
          <w:sz w:val="30"/>
          <w:szCs w:val="30"/>
          <w:highlight w:val="none"/>
        </w:rPr>
        <w:t>沈阳市中正</w:t>
      </w:r>
      <w:r>
        <w:rPr>
          <w:rFonts w:hint="default" w:ascii="Times New Roman" w:hAnsi="Times New Roman" w:eastAsia="宋体" w:cs="Times New Roman"/>
          <w:b/>
          <w:bCs/>
          <w:color w:val="000000"/>
          <w:sz w:val="30"/>
          <w:szCs w:val="30"/>
          <w:highlight w:val="none"/>
          <w:lang w:eastAsia="zh-CN"/>
        </w:rPr>
        <w:t>检测技术有限公司</w:t>
      </w:r>
    </w:p>
    <w:p>
      <w:pPr>
        <w:pStyle w:val="9"/>
        <w:ind w:left="0" w:leftChars="0" w:firstLine="0" w:firstLineChars="0"/>
        <w:jc w:val="center"/>
        <w:rPr>
          <w:rFonts w:hint="default" w:ascii="Times New Roman" w:hAnsi="Times New Roman" w:eastAsia="宋体" w:cs="Times New Roman"/>
          <w:b/>
          <w:bCs/>
          <w:color w:val="auto"/>
          <w:sz w:val="30"/>
          <w:szCs w:val="30"/>
          <w:highlight w:val="none"/>
          <w:lang w:val="en-US" w:eastAsia="zh-CN"/>
        </w:rPr>
      </w:pPr>
      <w:r>
        <w:rPr>
          <w:rFonts w:hint="default" w:ascii="Times New Roman" w:hAnsi="Times New Roman" w:eastAsia="宋体" w:cs="Times New Roman"/>
          <w:b/>
          <w:bCs/>
          <w:color w:val="auto"/>
          <w:sz w:val="30"/>
          <w:szCs w:val="30"/>
          <w:highlight w:val="none"/>
          <w:lang w:val="en-US" w:eastAsia="zh-CN"/>
        </w:rPr>
        <w:t>202</w:t>
      </w:r>
      <w:r>
        <w:rPr>
          <w:rFonts w:hint="eastAsia" w:ascii="Times New Roman" w:eastAsia="宋体" w:cs="Times New Roman"/>
          <w:b/>
          <w:bCs/>
          <w:color w:val="auto"/>
          <w:sz w:val="30"/>
          <w:szCs w:val="30"/>
          <w:highlight w:val="none"/>
          <w:lang w:val="en-US" w:eastAsia="zh-CN"/>
        </w:rPr>
        <w:t>4</w:t>
      </w:r>
      <w:r>
        <w:rPr>
          <w:rFonts w:hint="default" w:ascii="Times New Roman" w:hAnsi="Times New Roman" w:eastAsia="宋体" w:cs="Times New Roman"/>
          <w:b/>
          <w:bCs/>
          <w:color w:val="auto"/>
          <w:sz w:val="30"/>
          <w:szCs w:val="30"/>
          <w:highlight w:val="none"/>
          <w:lang w:val="en-US" w:eastAsia="zh-CN"/>
        </w:rPr>
        <w:t>年</w:t>
      </w:r>
      <w:r>
        <w:rPr>
          <w:rFonts w:hint="eastAsia" w:ascii="Times New Roman" w:eastAsia="宋体" w:cs="Times New Roman"/>
          <w:b/>
          <w:bCs/>
          <w:color w:val="auto"/>
          <w:sz w:val="30"/>
          <w:szCs w:val="30"/>
          <w:highlight w:val="none"/>
          <w:lang w:val="en-US" w:eastAsia="zh-CN"/>
        </w:rPr>
        <w:t>06</w:t>
      </w:r>
      <w:r>
        <w:rPr>
          <w:rFonts w:hint="default" w:ascii="Times New Roman" w:hAnsi="Times New Roman" w:eastAsia="宋体" w:cs="Times New Roman"/>
          <w:b/>
          <w:bCs/>
          <w:color w:val="auto"/>
          <w:sz w:val="30"/>
          <w:szCs w:val="30"/>
          <w:highlight w:val="none"/>
          <w:lang w:val="en-US" w:eastAsia="zh-CN"/>
        </w:rPr>
        <w:t>月</w:t>
      </w:r>
      <w:r>
        <w:rPr>
          <w:rFonts w:hint="eastAsia" w:ascii="Times New Roman" w:eastAsia="宋体" w:cs="Times New Roman"/>
          <w:b/>
          <w:bCs/>
          <w:color w:val="auto"/>
          <w:sz w:val="30"/>
          <w:szCs w:val="30"/>
          <w:highlight w:val="none"/>
          <w:lang w:val="en-US" w:eastAsia="zh-CN"/>
        </w:rPr>
        <w:t>10日</w:t>
      </w:r>
    </w:p>
    <w:p>
      <w:pPr>
        <w:rPr>
          <w:rFonts w:hint="default" w:ascii="Times New Roman" w:hAnsi="Times New Roman" w:eastAsia="宋体" w:cs="Times New Roman"/>
          <w:b/>
          <w:bCs/>
          <w:color w:val="auto"/>
          <w:sz w:val="30"/>
          <w:szCs w:val="30"/>
          <w:highlight w:val="none"/>
          <w:lang w:val="en-US" w:eastAsia="zh-CN"/>
        </w:rPr>
      </w:pPr>
    </w:p>
    <w:p>
      <w:pPr>
        <w:pStyle w:val="8"/>
        <w:rPr>
          <w:rFonts w:hint="default" w:ascii="Times New Roman" w:hAnsi="Times New Roman" w:eastAsia="宋体" w:cs="Times New Roman"/>
          <w:b/>
          <w:bCs/>
          <w:color w:val="auto"/>
          <w:sz w:val="30"/>
          <w:szCs w:val="30"/>
          <w:highlight w:val="none"/>
          <w:lang w:val="en-US" w:eastAsia="zh-CN"/>
        </w:rPr>
      </w:pPr>
    </w:p>
    <w:p>
      <w:pPr>
        <w:pStyle w:val="9"/>
        <w:rPr>
          <w:rFonts w:hint="default" w:ascii="Times New Roman" w:hAnsi="Times New Roman" w:eastAsia="宋体" w:cs="Times New Roman"/>
          <w:b/>
          <w:bCs/>
          <w:color w:val="auto"/>
          <w:sz w:val="30"/>
          <w:szCs w:val="30"/>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0"/>
        <w:rPr>
          <w:rFonts w:hint="eastAsia" w:ascii="Times New Roman" w:hAnsi="Times New Roman" w:eastAsia="宋体" w:cs="Times New Roman"/>
          <w:b/>
          <w:bCs/>
          <w:color w:val="auto"/>
          <w:sz w:val="30"/>
          <w:szCs w:val="30"/>
          <w:highlight w:val="none"/>
          <w:lang w:val="en-US" w:eastAsia="zh-CN"/>
        </w:rPr>
        <w:sectPr>
          <w:head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0"/>
        <w:rPr>
          <w:rFonts w:hint="eastAsia" w:ascii="Times New Roman" w:hAnsi="Times New Roman" w:eastAsia="宋体" w:cs="Times New Roman"/>
          <w:b/>
          <w:bCs/>
          <w:color w:val="auto"/>
          <w:sz w:val="30"/>
          <w:szCs w:val="30"/>
          <w:highlight w:val="none"/>
          <w:lang w:val="en-US" w:eastAsia="zh-CN"/>
        </w:rPr>
      </w:pPr>
      <w:r>
        <w:rPr>
          <w:rFonts w:hint="eastAsia" w:ascii="Times New Roman" w:hAnsi="Times New Roman" w:eastAsia="宋体" w:cs="Times New Roman"/>
          <w:b/>
          <w:bCs/>
          <w:color w:val="auto"/>
          <w:sz w:val="30"/>
          <w:szCs w:val="30"/>
          <w:highlight w:val="none"/>
          <w:lang w:val="en-US" w:eastAsia="zh-CN"/>
        </w:rPr>
        <w:t>前言</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600" w:firstLineChars="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城市公共供水的水质直接关系到市民的身体健康，为保障城市公共供水的水质安全，沈阳市已连续多年开展城市公共供水水质抽样检测工作，对全市供水企业出厂水和管网水水质进行检测，及时发现水质波动变化和异常情况，确保城市居民喝上放心饮用水。按照2024年度沈阳市水务局关于对城市公共供水水质进行抽检的通知要求，</w:t>
      </w:r>
      <w:r>
        <w:rPr>
          <w:rFonts w:hint="default" w:ascii="Times New Roman" w:hAnsi="Times New Roman" w:eastAsia="宋体" w:cs="Times New Roman"/>
          <w:color w:val="000000"/>
          <w:sz w:val="24"/>
          <w:szCs w:val="24"/>
          <w:highlight w:val="none"/>
        </w:rPr>
        <w:t>沈阳市中正</w:t>
      </w:r>
      <w:r>
        <w:rPr>
          <w:rFonts w:hint="default" w:ascii="Times New Roman" w:hAnsi="Times New Roman" w:eastAsia="宋体" w:cs="Times New Roman"/>
          <w:color w:val="000000"/>
          <w:sz w:val="24"/>
          <w:szCs w:val="24"/>
          <w:highlight w:val="none"/>
          <w:lang w:eastAsia="zh-CN"/>
        </w:rPr>
        <w:t>检测技术有限公司于2024年0</w:t>
      </w:r>
      <w:r>
        <w:rPr>
          <w:rFonts w:hint="default" w:ascii="Times New Roman" w:hAnsi="Times New Roman" w:eastAsia="宋体" w:cs="Times New Roman"/>
          <w:color w:val="000000"/>
          <w:sz w:val="24"/>
          <w:szCs w:val="24"/>
          <w:highlight w:val="none"/>
          <w:lang w:val="en-US" w:eastAsia="zh-CN"/>
        </w:rPr>
        <w:t>5</w:t>
      </w:r>
      <w:r>
        <w:rPr>
          <w:rFonts w:hint="default" w:ascii="Times New Roman" w:hAnsi="Times New Roman" w:eastAsia="宋体" w:cs="Times New Roman"/>
          <w:color w:val="000000"/>
          <w:sz w:val="24"/>
          <w:szCs w:val="24"/>
          <w:highlight w:val="none"/>
          <w:lang w:eastAsia="zh-CN"/>
        </w:rPr>
        <w:t>月</w:t>
      </w:r>
      <w:r>
        <w:rPr>
          <w:rFonts w:hint="default" w:ascii="Times New Roman" w:hAnsi="Times New Roman" w:eastAsia="宋体" w:cs="Times New Roman"/>
          <w:color w:val="000000"/>
          <w:sz w:val="24"/>
          <w:szCs w:val="24"/>
          <w:highlight w:val="none"/>
          <w:lang w:val="en-US" w:eastAsia="zh-CN"/>
        </w:rPr>
        <w:t>开展了</w:t>
      </w:r>
      <w:r>
        <w:rPr>
          <w:rFonts w:hint="default" w:ascii="Times New Roman" w:hAnsi="Times New Roman" w:eastAsia="宋体" w:cs="Times New Roman"/>
          <w:color w:val="000000"/>
          <w:sz w:val="24"/>
          <w:szCs w:val="24"/>
          <w:highlight w:val="none"/>
          <w:lang w:eastAsia="zh-CN"/>
        </w:rPr>
        <w:t>沈阳市水务局2024年城市公共供水水质抽样检测项目</w:t>
      </w:r>
      <w:r>
        <w:rPr>
          <w:rFonts w:hint="default" w:ascii="Times New Roman" w:hAnsi="Times New Roman" w:eastAsia="宋体" w:cs="Times New Roman"/>
          <w:color w:val="000000"/>
          <w:sz w:val="24"/>
          <w:szCs w:val="24"/>
          <w:highlight w:val="none"/>
          <w:lang w:val="en-US" w:eastAsia="zh-CN"/>
        </w:rPr>
        <w:t>的第二季度检测工作，根据检测数据、相关标准和技术规范编制本报告。</w:t>
      </w:r>
    </w:p>
    <w:p>
      <w:pPr>
        <w:pStyle w:val="8"/>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0" w:leftChars="0" w:firstLine="0" w:firstLineChars="0"/>
        <w:textAlignment w:val="auto"/>
        <w:outlineLvl w:val="0"/>
        <w:rPr>
          <w:rFonts w:hint="eastAsia" w:ascii="Times New Roman" w:hAnsi="Times New Roman" w:eastAsia="宋体" w:cs="Times New Roman"/>
          <w:b/>
          <w:bCs/>
          <w:color w:val="auto"/>
          <w:sz w:val="30"/>
          <w:szCs w:val="30"/>
          <w:highlight w:val="none"/>
          <w:lang w:val="en-US" w:eastAsia="zh-CN"/>
        </w:rPr>
      </w:pPr>
      <w:r>
        <w:rPr>
          <w:rFonts w:hint="eastAsia" w:ascii="Times New Roman" w:hAnsi="Times New Roman" w:eastAsia="宋体" w:cs="Times New Roman"/>
          <w:b/>
          <w:bCs/>
          <w:color w:val="auto"/>
          <w:sz w:val="30"/>
          <w:szCs w:val="30"/>
          <w:highlight w:val="none"/>
          <w:lang w:val="en-US" w:eastAsia="zh-CN"/>
        </w:rPr>
        <w:t>检测内容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Times New Roman" w:hAnsi="Times New Roman" w:eastAsia="宋体" w:cs="Times New Roman"/>
          <w:b/>
          <w:bCs/>
          <w:kern w:val="0"/>
          <w:sz w:val="28"/>
          <w:szCs w:val="28"/>
          <w:highlight w:val="none"/>
          <w:lang w:val="en-US" w:eastAsia="zh-CN"/>
        </w:rPr>
      </w:pPr>
      <w:r>
        <w:rPr>
          <w:rFonts w:hint="eastAsia" w:ascii="Times New Roman" w:hAnsi="Times New Roman" w:eastAsia="宋体" w:cs="Times New Roman"/>
          <w:b/>
          <w:bCs/>
          <w:kern w:val="0"/>
          <w:sz w:val="28"/>
          <w:szCs w:val="28"/>
          <w:highlight w:val="none"/>
          <w:lang w:val="en-US" w:eastAsia="zh-CN"/>
        </w:rPr>
        <w:t>1、</w:t>
      </w:r>
      <w:r>
        <w:rPr>
          <w:rFonts w:hint="default" w:ascii="Times New Roman" w:hAnsi="Times New Roman" w:eastAsia="宋体" w:cs="Times New Roman"/>
          <w:b/>
          <w:bCs/>
          <w:kern w:val="0"/>
          <w:sz w:val="28"/>
          <w:szCs w:val="28"/>
          <w:highlight w:val="none"/>
        </w:rPr>
        <w:t>检测项目及频次</w:t>
      </w:r>
    </w:p>
    <w:p>
      <w:pPr>
        <w:pStyle w:val="9"/>
        <w:numPr>
          <w:ilvl w:val="0"/>
          <w:numId w:val="0"/>
        </w:numPr>
        <w:spacing w:line="360" w:lineRule="auto"/>
        <w:ind w:leftChars="0" w:firstLine="480" w:firstLineChars="200"/>
        <w:jc w:val="both"/>
        <w:rPr>
          <w:rFonts w:hint="default" w:ascii="Times New Roman" w:hAnsi="Times New Roman" w:eastAsia="宋体" w:cs="Times New Roman"/>
          <w:b w:val="0"/>
          <w:bCs w:val="0"/>
          <w:color w:val="000000"/>
          <w:sz w:val="24"/>
          <w:szCs w:val="24"/>
          <w:highlight w:val="none"/>
          <w:lang w:val="en-US" w:eastAsia="zh-CN" w:bidi="ar"/>
        </w:rPr>
      </w:pPr>
      <w:r>
        <w:rPr>
          <w:rFonts w:hint="default" w:ascii="Times New Roman" w:hAnsi="Times New Roman" w:eastAsia="宋体" w:cs="Times New Roman"/>
          <w:b w:val="0"/>
          <w:bCs w:val="0"/>
          <w:color w:val="auto"/>
          <w:sz w:val="24"/>
          <w:szCs w:val="24"/>
          <w:highlight w:val="none"/>
          <w:lang w:val="en-US" w:eastAsia="zh-CN"/>
        </w:rPr>
        <w:t>按照</w:t>
      </w:r>
      <w:r>
        <w:rPr>
          <w:rFonts w:hint="default" w:ascii="Times New Roman" w:hAnsi="Times New Roman" w:eastAsia="宋体" w:cs="Times New Roman"/>
          <w:b w:val="0"/>
          <w:bCs w:val="0"/>
          <w:color w:val="000000"/>
          <w:sz w:val="24"/>
          <w:szCs w:val="24"/>
          <w:highlight w:val="none"/>
          <w:lang w:eastAsia="zh-CN"/>
        </w:rPr>
        <w:t>沈阳市水务局2024年城市公共供水水质抽样检测项目</w:t>
      </w:r>
      <w:r>
        <w:rPr>
          <w:rFonts w:hint="default" w:ascii="Times New Roman" w:hAnsi="Times New Roman" w:eastAsia="宋体" w:cs="Times New Roman"/>
          <w:b w:val="0"/>
          <w:bCs w:val="0"/>
          <w:color w:val="000000"/>
          <w:sz w:val="24"/>
          <w:szCs w:val="24"/>
          <w:highlight w:val="none"/>
          <w:lang w:val="en-US" w:eastAsia="zh-CN"/>
        </w:rPr>
        <w:t>第二季度检测计划，本季度</w:t>
      </w:r>
      <w:r>
        <w:rPr>
          <w:rFonts w:hint="default" w:ascii="Times New Roman" w:hAnsi="Times New Roman" w:eastAsia="宋体" w:cs="Times New Roman"/>
          <w:b w:val="0"/>
          <w:bCs w:val="0"/>
          <w:color w:val="000000"/>
          <w:sz w:val="24"/>
          <w:szCs w:val="24"/>
          <w:highlight w:val="none"/>
          <w:lang w:val="en-US" w:eastAsia="zh-CN" w:bidi="ar"/>
        </w:rPr>
        <w:t>随机抽取的20处城市供水管网末梢水进行43项指标检测工作，具体情况详见表1</w:t>
      </w:r>
      <w:r>
        <w:rPr>
          <w:rFonts w:hint="eastAsia" w:ascii="Times New Roman" w:hAnsi="Times New Roman" w:eastAsia="宋体" w:cs="Times New Roman"/>
          <w:b w:val="0"/>
          <w:bCs w:val="0"/>
          <w:color w:val="000000"/>
          <w:sz w:val="24"/>
          <w:szCs w:val="24"/>
          <w:highlight w:val="none"/>
          <w:lang w:val="en-US" w:eastAsia="zh-CN" w:bidi="ar"/>
        </w:rPr>
        <w:t>。</w:t>
      </w:r>
    </w:p>
    <w:tbl>
      <w:tblPr>
        <w:tblStyle w:val="15"/>
        <w:tblW w:w="4987"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2282"/>
        <w:gridCol w:w="4679"/>
        <w:gridCol w:w="228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50" w:type="pct"/>
            <w:tcBorders>
              <w:tl2br w:val="nil"/>
              <w:tr2bl w:val="nil"/>
            </w:tcBorders>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序号</w:t>
            </w:r>
          </w:p>
        </w:tc>
        <w:tc>
          <w:tcPr>
            <w:tcW w:w="1148" w:type="pct"/>
            <w:tcBorders>
              <w:tl2br w:val="nil"/>
              <w:tr2bl w:val="nil"/>
            </w:tcBorders>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采样点位</w:t>
            </w:r>
          </w:p>
        </w:tc>
        <w:tc>
          <w:tcPr>
            <w:tcW w:w="2354" w:type="pct"/>
            <w:tcBorders>
              <w:tl2br w:val="nil"/>
              <w:tr2bl w:val="nil"/>
            </w:tcBorders>
            <w:noWrap w:val="0"/>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highlight w:val="none"/>
              </w:rPr>
              <w:t>检测项目</w:t>
            </w:r>
          </w:p>
        </w:tc>
        <w:tc>
          <w:tcPr>
            <w:tcW w:w="1147" w:type="pct"/>
            <w:tcBorders>
              <w:tl2br w:val="nil"/>
              <w:tr2bl w:val="nil"/>
            </w:tcBorders>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检测频次</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2282" w:type="dxa"/>
            <w:tcBorders>
              <w:tl2br w:val="nil"/>
              <w:tr2bl w:val="nil"/>
            </w:tcBorders>
            <w:noWrap w:val="0"/>
            <w:vAlign w:val="center"/>
          </w:tcPr>
          <w:p>
            <w:pPr>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南市群芳1泵房</w:t>
            </w:r>
          </w:p>
        </w:tc>
        <w:tc>
          <w:tcPr>
            <w:tcW w:w="2354" w:type="pct"/>
            <w:vMerge w:val="restar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r>
              <w:rPr>
                <w:rFonts w:hint="default" w:ascii="Times New Roman" w:hAnsi="Times New Roman" w:eastAsia="宋体" w:cs="Times New Roman"/>
                <w:color w:val="auto"/>
                <w:sz w:val="21"/>
                <w:szCs w:val="21"/>
                <w:highlight w:val="none"/>
              </w:rPr>
              <w:t>总大肠菌</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大肠埃希氏菌</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菌落总数</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砷</w:t>
            </w:r>
            <w:r>
              <w:rPr>
                <w:rFonts w:hint="default" w:ascii="Times New Roman" w:hAnsi="Times New Roman" w:eastAsia="宋体" w:cs="Times New Roman"/>
                <w:sz w:val="21"/>
                <w:szCs w:val="21"/>
                <w:highlight w:val="none"/>
                <w:vertAlign w:val="baseline"/>
                <w:lang w:val="en-US" w:eastAsia="zh-CN"/>
              </w:rPr>
              <w:t>、镉、</w:t>
            </w:r>
            <w:r>
              <w:rPr>
                <w:rFonts w:hint="default" w:ascii="Times New Roman" w:hAnsi="Times New Roman" w:eastAsia="宋体" w:cs="Times New Roman"/>
                <w:color w:val="auto"/>
                <w:sz w:val="21"/>
                <w:szCs w:val="21"/>
                <w:highlight w:val="none"/>
              </w:rPr>
              <w:t>铬（六价）</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铅</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汞</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氰化物</w:t>
            </w:r>
            <w:r>
              <w:rPr>
                <w:rFonts w:hint="default" w:ascii="Times New Roman" w:hAnsi="Times New Roman" w:eastAsia="宋体" w:cs="Times New Roman"/>
                <w:sz w:val="21"/>
                <w:szCs w:val="21"/>
                <w:highlight w:val="none"/>
                <w:vertAlign w:val="baseline"/>
                <w:lang w:val="en-US" w:eastAsia="zh-CN"/>
              </w:rPr>
              <w:t>、氟化物</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硝酸盐</w:t>
            </w:r>
            <w:r>
              <w:rPr>
                <w:rFonts w:hint="default" w:ascii="Times New Roman" w:hAnsi="Times New Roman" w:eastAsia="宋体" w:cs="Times New Roman"/>
                <w:color w:val="auto"/>
                <w:sz w:val="21"/>
                <w:szCs w:val="21"/>
                <w:highlight w:val="none"/>
                <w:lang w:eastAsia="zh-CN"/>
              </w:rPr>
              <w:t>（以</w:t>
            </w:r>
            <w:r>
              <w:rPr>
                <w:rFonts w:hint="default" w:ascii="Times New Roman" w:hAnsi="Times New Roman" w:eastAsia="宋体" w:cs="Times New Roman"/>
                <w:color w:val="auto"/>
                <w:sz w:val="21"/>
                <w:szCs w:val="21"/>
                <w:highlight w:val="none"/>
                <w:lang w:val="en-US" w:eastAsia="zh-CN"/>
              </w:rPr>
              <w:t>N计</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三氯甲烷</w:t>
            </w:r>
            <w:r>
              <w:rPr>
                <w:rFonts w:hint="default" w:ascii="Times New Roman" w:hAnsi="Times New Roman" w:eastAsia="宋体" w:cs="Times New Roman"/>
                <w:color w:val="auto"/>
                <w:sz w:val="21"/>
                <w:szCs w:val="21"/>
                <w:highlight w:val="none"/>
                <w:lang w:val="en-US" w:eastAsia="zh-CN"/>
              </w:rPr>
              <w:t>、一氯二溴甲烷、二氯一溴甲烷、三溴甲烷、</w:t>
            </w:r>
            <w:r>
              <w:rPr>
                <w:rFonts w:hint="default" w:ascii="Times New Roman" w:hAnsi="Times New Roman" w:eastAsia="宋体" w:cs="Times New Roman"/>
                <w:snapToGrid w:val="0"/>
                <w:kern w:val="0"/>
                <w:sz w:val="21"/>
                <w:szCs w:val="21"/>
                <w:highlight w:val="none"/>
                <w:lang w:val="en-US" w:eastAsia="zh-CN" w:bidi="ar-SA"/>
              </w:rPr>
              <w:t>三卤甲烷（包含</w:t>
            </w:r>
            <w:r>
              <w:rPr>
                <w:rFonts w:hint="default" w:ascii="Times New Roman" w:hAnsi="Times New Roman" w:eastAsia="宋体" w:cs="Times New Roman"/>
                <w:color w:val="auto"/>
                <w:sz w:val="21"/>
                <w:szCs w:val="21"/>
                <w:highlight w:val="none"/>
              </w:rPr>
              <w:t>三氯甲烷</w:t>
            </w:r>
            <w:r>
              <w:rPr>
                <w:rFonts w:hint="default" w:ascii="Times New Roman" w:hAnsi="Times New Roman" w:eastAsia="宋体" w:cs="Times New Roman"/>
                <w:color w:val="auto"/>
                <w:sz w:val="21"/>
                <w:szCs w:val="21"/>
                <w:highlight w:val="none"/>
                <w:lang w:val="en-US" w:eastAsia="zh-CN"/>
              </w:rPr>
              <w:t>、一氯二溴甲烷、二氯一溴甲烷、三溴甲烷</w:t>
            </w:r>
            <w:r>
              <w:rPr>
                <w:rFonts w:hint="default" w:ascii="Times New Roman" w:hAnsi="Times New Roman" w:eastAsia="宋体" w:cs="Times New Roman"/>
                <w:snapToGrid w:val="0"/>
                <w:kern w:val="0"/>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rPr>
              <w:t>二氯乙酸、三氯乙酸、溴酸盐、亚氯酸盐、氯酸盐</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色度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浑浊度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臭和味</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肉眼可见物</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pH</w:t>
            </w:r>
            <w:r>
              <w:rPr>
                <w:rFonts w:hint="default" w:ascii="Times New Roman" w:hAnsi="Times New Roman" w:eastAsia="宋体" w:cs="Times New Roman"/>
                <w:color w:val="auto"/>
                <w:sz w:val="21"/>
                <w:szCs w:val="21"/>
                <w:highlight w:val="none"/>
                <w:lang w:val="en-US" w:eastAsia="zh-CN"/>
              </w:rPr>
              <w:t>值</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铝</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铁</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锰</w:t>
            </w:r>
            <w:r>
              <w:rPr>
                <w:rFonts w:hint="default" w:ascii="Times New Roman" w:hAnsi="Times New Roman" w:eastAsia="宋体" w:cs="Times New Roman"/>
                <w:sz w:val="21"/>
                <w:szCs w:val="21"/>
                <w:highlight w:val="none"/>
                <w:vertAlign w:val="baseline"/>
                <w:lang w:val="en-US" w:eastAsia="zh-CN"/>
              </w:rPr>
              <w:t>、铜</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锌</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氯化物</w:t>
            </w:r>
            <w:r>
              <w:rPr>
                <w:rFonts w:hint="default" w:ascii="Times New Roman" w:hAnsi="Times New Roman" w:eastAsia="宋体" w:cs="Times New Roman"/>
                <w:sz w:val="21"/>
                <w:szCs w:val="21"/>
                <w:highlight w:val="none"/>
                <w:vertAlign w:val="baseline"/>
                <w:lang w:val="en-US" w:eastAsia="zh-CN"/>
              </w:rPr>
              <w:t>、硫酸盐、</w:t>
            </w:r>
            <w:r>
              <w:rPr>
                <w:rFonts w:hint="default" w:ascii="Times New Roman" w:hAnsi="Times New Roman" w:eastAsia="宋体" w:cs="Times New Roman"/>
                <w:color w:val="auto"/>
                <w:sz w:val="21"/>
                <w:szCs w:val="21"/>
                <w:highlight w:val="none"/>
              </w:rPr>
              <w:t>溶解性总固体</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总硬度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Cs/>
                <w:color w:val="auto"/>
                <w:sz w:val="21"/>
                <w:szCs w:val="21"/>
                <w:highlight w:val="none"/>
              </w:rPr>
              <w:t>高锰酸盐指数（以O</w:t>
            </w:r>
            <w:r>
              <w:rPr>
                <w:rFonts w:hint="default" w:ascii="Times New Roman" w:hAnsi="Times New Roman" w:eastAsia="宋体" w:cs="Times New Roman"/>
                <w:bCs/>
                <w:color w:val="auto"/>
                <w:sz w:val="21"/>
                <w:szCs w:val="21"/>
                <w:highlight w:val="none"/>
                <w:vertAlign w:val="subscript"/>
              </w:rPr>
              <w:t>2</w:t>
            </w:r>
            <w:r>
              <w:rPr>
                <w:rFonts w:hint="default" w:ascii="Times New Roman" w:hAnsi="Times New Roman" w:eastAsia="宋体" w:cs="Times New Roman"/>
                <w:bCs/>
                <w:color w:val="auto"/>
                <w:sz w:val="21"/>
                <w:szCs w:val="21"/>
                <w:highlight w:val="none"/>
              </w:rPr>
              <w:t>计）</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color w:val="auto"/>
                <w:sz w:val="21"/>
                <w:szCs w:val="21"/>
                <w:highlight w:val="none"/>
              </w:rPr>
              <w:t>氨（以N计）</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总α放射性</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总β放射性</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游离氯、总氯、臭氧、二氧化氯</w:t>
            </w:r>
          </w:p>
        </w:tc>
        <w:tc>
          <w:tcPr>
            <w:tcW w:w="1147" w:type="pct"/>
            <w:vMerge w:val="restart"/>
            <w:tcBorders>
              <w:tl2br w:val="nil"/>
              <w:tr2bl w:val="nil"/>
            </w:tcBorders>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监测</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天，</w:t>
            </w:r>
            <w:r>
              <w:rPr>
                <w:rFonts w:hint="default" w:ascii="Times New Roman" w:hAnsi="Times New Roman" w:eastAsia="宋体" w:cs="Times New Roman"/>
                <w:sz w:val="21"/>
                <w:szCs w:val="21"/>
                <w:highlight w:val="none"/>
                <w:lang w:eastAsia="zh-CN"/>
              </w:rPr>
              <w:t>监测</w:t>
            </w:r>
            <w:r>
              <w:rPr>
                <w:rFonts w:hint="default" w:ascii="Times New Roman" w:hAnsi="Times New Roman" w:eastAsia="宋体" w:cs="Times New Roman"/>
                <w:sz w:val="21"/>
                <w:szCs w:val="21"/>
                <w:highlight w:val="none"/>
                <w:lang w:val="en-US" w:eastAsia="zh-CN"/>
              </w:rPr>
              <w:t>1次</w:t>
            </w:r>
            <w:r>
              <w:rPr>
                <w:rFonts w:hint="default" w:ascii="Times New Roman" w:hAnsi="Times New Roman" w:eastAsia="宋体" w:cs="Times New Roman"/>
                <w:sz w:val="21"/>
                <w:szCs w:val="21"/>
                <w:highlight w:val="none"/>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w:t>
            </w:r>
          </w:p>
        </w:tc>
        <w:tc>
          <w:tcPr>
            <w:tcW w:w="2282"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南市近江东泵房</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w:t>
            </w:r>
          </w:p>
        </w:tc>
        <w:tc>
          <w:tcPr>
            <w:tcW w:w="2282"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南市群芳2泵房</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w:t>
            </w:r>
          </w:p>
        </w:tc>
        <w:tc>
          <w:tcPr>
            <w:tcW w:w="2282"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沈阳体育总会</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w:t>
            </w:r>
          </w:p>
        </w:tc>
        <w:tc>
          <w:tcPr>
            <w:tcW w:w="2282"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丽园公寓</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w:t>
            </w:r>
          </w:p>
        </w:tc>
        <w:tc>
          <w:tcPr>
            <w:tcW w:w="2282"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省委64号</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w:t>
            </w:r>
          </w:p>
        </w:tc>
        <w:tc>
          <w:tcPr>
            <w:tcW w:w="2282"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二纬路6号</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8</w:t>
            </w:r>
          </w:p>
        </w:tc>
        <w:tc>
          <w:tcPr>
            <w:tcW w:w="2282"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北四经街6号</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9</w:t>
            </w:r>
          </w:p>
        </w:tc>
        <w:tc>
          <w:tcPr>
            <w:tcW w:w="2282"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中山路145号</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10</w:t>
            </w:r>
          </w:p>
        </w:tc>
        <w:tc>
          <w:tcPr>
            <w:tcW w:w="2282"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三利和平湾</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11</w:t>
            </w:r>
          </w:p>
        </w:tc>
        <w:tc>
          <w:tcPr>
            <w:tcW w:w="2282" w:type="dxa"/>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砂山新村</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12</w:t>
            </w:r>
          </w:p>
        </w:tc>
        <w:tc>
          <w:tcPr>
            <w:tcW w:w="2282" w:type="dxa"/>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砂山100号</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13</w:t>
            </w:r>
          </w:p>
        </w:tc>
        <w:tc>
          <w:tcPr>
            <w:tcW w:w="2282" w:type="dxa"/>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银河湾</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14</w:t>
            </w:r>
          </w:p>
        </w:tc>
        <w:tc>
          <w:tcPr>
            <w:tcW w:w="2282" w:type="dxa"/>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绿岛香湾</w:t>
            </w:r>
          </w:p>
        </w:tc>
        <w:tc>
          <w:tcPr>
            <w:tcW w:w="2354" w:type="pct"/>
            <w:vMerge w:val="restar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r>
              <w:rPr>
                <w:rFonts w:hint="default" w:ascii="Times New Roman" w:hAnsi="Times New Roman" w:eastAsia="宋体" w:cs="Times New Roman"/>
                <w:color w:val="auto"/>
                <w:sz w:val="21"/>
                <w:szCs w:val="21"/>
                <w:highlight w:val="none"/>
              </w:rPr>
              <w:t>总大肠菌</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大肠埃希氏菌</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菌落总数</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砷</w:t>
            </w:r>
            <w:r>
              <w:rPr>
                <w:rFonts w:hint="default" w:ascii="Times New Roman" w:hAnsi="Times New Roman" w:eastAsia="宋体" w:cs="Times New Roman"/>
                <w:sz w:val="21"/>
                <w:szCs w:val="21"/>
                <w:highlight w:val="none"/>
                <w:vertAlign w:val="baseline"/>
                <w:lang w:val="en-US" w:eastAsia="zh-CN"/>
              </w:rPr>
              <w:t>、镉、</w:t>
            </w:r>
            <w:r>
              <w:rPr>
                <w:rFonts w:hint="default" w:ascii="Times New Roman" w:hAnsi="Times New Roman" w:eastAsia="宋体" w:cs="Times New Roman"/>
                <w:color w:val="auto"/>
                <w:sz w:val="21"/>
                <w:szCs w:val="21"/>
                <w:highlight w:val="none"/>
              </w:rPr>
              <w:t>铬（六价）</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铅</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汞</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氰化物</w:t>
            </w:r>
            <w:r>
              <w:rPr>
                <w:rFonts w:hint="default" w:ascii="Times New Roman" w:hAnsi="Times New Roman" w:eastAsia="宋体" w:cs="Times New Roman"/>
                <w:sz w:val="21"/>
                <w:szCs w:val="21"/>
                <w:highlight w:val="none"/>
                <w:vertAlign w:val="baseline"/>
                <w:lang w:val="en-US" w:eastAsia="zh-CN"/>
              </w:rPr>
              <w:t>、氟化物</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硝酸盐</w:t>
            </w:r>
            <w:r>
              <w:rPr>
                <w:rFonts w:hint="default" w:ascii="Times New Roman" w:hAnsi="Times New Roman" w:eastAsia="宋体" w:cs="Times New Roman"/>
                <w:color w:val="auto"/>
                <w:sz w:val="21"/>
                <w:szCs w:val="21"/>
                <w:highlight w:val="none"/>
                <w:lang w:eastAsia="zh-CN"/>
              </w:rPr>
              <w:t>（以</w:t>
            </w:r>
            <w:r>
              <w:rPr>
                <w:rFonts w:hint="default" w:ascii="Times New Roman" w:hAnsi="Times New Roman" w:eastAsia="宋体" w:cs="Times New Roman"/>
                <w:color w:val="auto"/>
                <w:sz w:val="21"/>
                <w:szCs w:val="21"/>
                <w:highlight w:val="none"/>
                <w:lang w:val="en-US" w:eastAsia="zh-CN"/>
              </w:rPr>
              <w:t>N计</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三氯甲烷</w:t>
            </w:r>
            <w:r>
              <w:rPr>
                <w:rFonts w:hint="default" w:ascii="Times New Roman" w:hAnsi="Times New Roman" w:eastAsia="宋体" w:cs="Times New Roman"/>
                <w:color w:val="auto"/>
                <w:sz w:val="21"/>
                <w:szCs w:val="21"/>
                <w:highlight w:val="none"/>
                <w:lang w:val="en-US" w:eastAsia="zh-CN"/>
              </w:rPr>
              <w:t>、一氯二溴甲烷、二氯一溴甲烷、三溴甲烷、</w:t>
            </w:r>
            <w:r>
              <w:rPr>
                <w:rFonts w:hint="default" w:ascii="Times New Roman" w:hAnsi="Times New Roman" w:eastAsia="宋体" w:cs="Times New Roman"/>
                <w:snapToGrid w:val="0"/>
                <w:kern w:val="0"/>
                <w:sz w:val="21"/>
                <w:szCs w:val="21"/>
                <w:highlight w:val="none"/>
                <w:lang w:val="en-US" w:eastAsia="zh-CN" w:bidi="ar-SA"/>
              </w:rPr>
              <w:t>三卤甲烷（包含</w:t>
            </w:r>
            <w:r>
              <w:rPr>
                <w:rFonts w:hint="default" w:ascii="Times New Roman" w:hAnsi="Times New Roman" w:eastAsia="宋体" w:cs="Times New Roman"/>
                <w:color w:val="auto"/>
                <w:sz w:val="21"/>
                <w:szCs w:val="21"/>
                <w:highlight w:val="none"/>
              </w:rPr>
              <w:t>三氯甲烷</w:t>
            </w:r>
            <w:r>
              <w:rPr>
                <w:rFonts w:hint="default" w:ascii="Times New Roman" w:hAnsi="Times New Roman" w:eastAsia="宋体" w:cs="Times New Roman"/>
                <w:color w:val="auto"/>
                <w:sz w:val="21"/>
                <w:szCs w:val="21"/>
                <w:highlight w:val="none"/>
                <w:lang w:val="en-US" w:eastAsia="zh-CN"/>
              </w:rPr>
              <w:t>、一氯二溴甲烷、二氯一溴甲烷、三溴甲烷</w:t>
            </w:r>
            <w:r>
              <w:rPr>
                <w:rFonts w:hint="default" w:ascii="Times New Roman" w:hAnsi="Times New Roman" w:eastAsia="宋体" w:cs="Times New Roman"/>
                <w:snapToGrid w:val="0"/>
                <w:kern w:val="0"/>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rPr>
              <w:t>二氯乙酸、三氯乙酸、溴酸盐、亚氯酸盐、氯酸盐</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色度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浑浊度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臭和味</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肉眼可见物</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pH</w:t>
            </w:r>
            <w:r>
              <w:rPr>
                <w:rFonts w:hint="default" w:ascii="Times New Roman" w:hAnsi="Times New Roman" w:eastAsia="宋体" w:cs="Times New Roman"/>
                <w:color w:val="auto"/>
                <w:sz w:val="21"/>
                <w:szCs w:val="21"/>
                <w:highlight w:val="none"/>
                <w:lang w:val="en-US" w:eastAsia="zh-CN"/>
              </w:rPr>
              <w:t>值</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铝</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铁</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锰</w:t>
            </w:r>
            <w:r>
              <w:rPr>
                <w:rFonts w:hint="default" w:ascii="Times New Roman" w:hAnsi="Times New Roman" w:eastAsia="宋体" w:cs="Times New Roman"/>
                <w:sz w:val="21"/>
                <w:szCs w:val="21"/>
                <w:highlight w:val="none"/>
                <w:vertAlign w:val="baseline"/>
                <w:lang w:val="en-US" w:eastAsia="zh-CN"/>
              </w:rPr>
              <w:t>、铜</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锌</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氯化物</w:t>
            </w:r>
            <w:r>
              <w:rPr>
                <w:rFonts w:hint="default" w:ascii="Times New Roman" w:hAnsi="Times New Roman" w:eastAsia="宋体" w:cs="Times New Roman"/>
                <w:sz w:val="21"/>
                <w:szCs w:val="21"/>
                <w:highlight w:val="none"/>
                <w:vertAlign w:val="baseline"/>
                <w:lang w:val="en-US" w:eastAsia="zh-CN"/>
              </w:rPr>
              <w:t>、硫酸盐、</w:t>
            </w:r>
            <w:r>
              <w:rPr>
                <w:rFonts w:hint="default" w:ascii="Times New Roman" w:hAnsi="Times New Roman" w:eastAsia="宋体" w:cs="Times New Roman"/>
                <w:color w:val="auto"/>
                <w:sz w:val="21"/>
                <w:szCs w:val="21"/>
                <w:highlight w:val="none"/>
              </w:rPr>
              <w:t>溶解性总固体</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总硬度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Cs/>
                <w:color w:val="auto"/>
                <w:sz w:val="21"/>
                <w:szCs w:val="21"/>
                <w:highlight w:val="none"/>
              </w:rPr>
              <w:t>高锰酸盐指数（以O</w:t>
            </w:r>
            <w:r>
              <w:rPr>
                <w:rFonts w:hint="default" w:ascii="Times New Roman" w:hAnsi="Times New Roman" w:eastAsia="宋体" w:cs="Times New Roman"/>
                <w:bCs/>
                <w:color w:val="auto"/>
                <w:sz w:val="21"/>
                <w:szCs w:val="21"/>
                <w:highlight w:val="none"/>
                <w:vertAlign w:val="subscript"/>
              </w:rPr>
              <w:t>2</w:t>
            </w:r>
            <w:r>
              <w:rPr>
                <w:rFonts w:hint="default" w:ascii="Times New Roman" w:hAnsi="Times New Roman" w:eastAsia="宋体" w:cs="Times New Roman"/>
                <w:bCs/>
                <w:color w:val="auto"/>
                <w:sz w:val="21"/>
                <w:szCs w:val="21"/>
                <w:highlight w:val="none"/>
              </w:rPr>
              <w:t>计）</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color w:val="auto"/>
                <w:sz w:val="21"/>
                <w:szCs w:val="21"/>
                <w:highlight w:val="none"/>
              </w:rPr>
              <w:t>氨（以N计）</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总α放射性</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总β放射性</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游离氯、总氯、臭氧、二氧化氯</w:t>
            </w:r>
          </w:p>
        </w:tc>
        <w:tc>
          <w:tcPr>
            <w:tcW w:w="1147" w:type="pct"/>
            <w:vMerge w:val="restart"/>
            <w:tcBorders>
              <w:tl2br w:val="nil"/>
              <w:tr2bl w:val="nil"/>
            </w:tcBorders>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监测</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天，</w:t>
            </w:r>
            <w:r>
              <w:rPr>
                <w:rFonts w:hint="default" w:ascii="Times New Roman" w:hAnsi="Times New Roman" w:eastAsia="宋体" w:cs="Times New Roman"/>
                <w:sz w:val="21"/>
                <w:szCs w:val="21"/>
                <w:highlight w:val="none"/>
                <w:lang w:eastAsia="zh-CN"/>
              </w:rPr>
              <w:t>监测</w:t>
            </w:r>
            <w:r>
              <w:rPr>
                <w:rFonts w:hint="default" w:ascii="Times New Roman" w:hAnsi="Times New Roman" w:eastAsia="宋体" w:cs="Times New Roman"/>
                <w:sz w:val="21"/>
                <w:szCs w:val="21"/>
                <w:highlight w:val="none"/>
                <w:lang w:val="en-US" w:eastAsia="zh-CN"/>
              </w:rPr>
              <w:t>1次</w:t>
            </w:r>
            <w:r>
              <w:rPr>
                <w:rFonts w:hint="default" w:ascii="Times New Roman" w:hAnsi="Times New Roman" w:eastAsia="宋体" w:cs="Times New Roman"/>
                <w:sz w:val="21"/>
                <w:szCs w:val="21"/>
                <w:highlight w:val="none"/>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15</w:t>
            </w:r>
          </w:p>
        </w:tc>
        <w:tc>
          <w:tcPr>
            <w:tcW w:w="2282" w:type="dxa"/>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长白苑</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16</w:t>
            </w:r>
          </w:p>
        </w:tc>
        <w:tc>
          <w:tcPr>
            <w:tcW w:w="2282" w:type="dxa"/>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滨河湾二期</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17</w:t>
            </w:r>
          </w:p>
        </w:tc>
        <w:tc>
          <w:tcPr>
            <w:tcW w:w="2282" w:type="dxa"/>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滨河湾一期</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18</w:t>
            </w:r>
          </w:p>
        </w:tc>
        <w:tc>
          <w:tcPr>
            <w:tcW w:w="2282" w:type="dxa"/>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光明花园</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19</w:t>
            </w:r>
          </w:p>
        </w:tc>
        <w:tc>
          <w:tcPr>
            <w:tcW w:w="2282" w:type="dxa"/>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经信委</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20</w:t>
            </w:r>
          </w:p>
        </w:tc>
        <w:tc>
          <w:tcPr>
            <w:tcW w:w="2282" w:type="dxa"/>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中国北方航空城</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宋体" w:cs="Times New Roman"/>
          <w:b/>
          <w:bCs/>
          <w:kern w:val="0"/>
          <w:sz w:val="28"/>
          <w:szCs w:val="28"/>
          <w:highlight w:val="none"/>
        </w:rPr>
      </w:pPr>
      <w:r>
        <w:rPr>
          <w:rFonts w:hint="eastAsia" w:ascii="Times New Roman" w:hAnsi="Times New Roman" w:eastAsia="宋体" w:cs="Times New Roman"/>
          <w:b/>
          <w:bCs/>
          <w:kern w:val="0"/>
          <w:sz w:val="28"/>
          <w:szCs w:val="28"/>
          <w:highlight w:val="none"/>
          <w:lang w:val="en-US" w:eastAsia="zh-CN"/>
        </w:rPr>
        <w:t>2、</w:t>
      </w:r>
      <w:r>
        <w:rPr>
          <w:rFonts w:hint="default" w:ascii="Times New Roman" w:hAnsi="Times New Roman" w:eastAsia="宋体" w:cs="Times New Roman"/>
          <w:b/>
          <w:bCs/>
          <w:kern w:val="0"/>
          <w:sz w:val="28"/>
          <w:szCs w:val="28"/>
          <w:highlight w:val="none"/>
        </w:rPr>
        <w:t>检测项目、标准方法及检测仪器</w:t>
      </w:r>
    </w:p>
    <w:p>
      <w:pPr>
        <w:keepNext w:val="0"/>
        <w:keepLines w:val="0"/>
        <w:pageBreakBefore w:val="0"/>
        <w:widowControl w:val="0"/>
        <w:kinsoku/>
        <w:wordWrap/>
        <w:overflowPunct/>
        <w:topLinePunct w:val="0"/>
        <w:bidi w:val="0"/>
        <w:adjustRightInd/>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b w:val="0"/>
          <w:bCs w:val="0"/>
          <w:color w:val="000000"/>
          <w:kern w:val="0"/>
          <w:sz w:val="24"/>
          <w:szCs w:val="24"/>
          <w:highlight w:val="none"/>
          <w:lang w:val="en-US" w:eastAsia="zh-CN" w:bidi="ar"/>
        </w:rPr>
      </w:pPr>
      <w:r>
        <w:rPr>
          <w:rFonts w:hint="eastAsia" w:ascii="Times New Roman" w:hAnsi="Times New Roman" w:eastAsia="宋体" w:cs="Times New Roman"/>
          <w:b w:val="0"/>
          <w:bCs w:val="0"/>
          <w:color w:val="000000"/>
          <w:kern w:val="0"/>
          <w:sz w:val="24"/>
          <w:szCs w:val="24"/>
          <w:highlight w:val="none"/>
          <w:lang w:val="en-US" w:eastAsia="zh-CN" w:bidi="ar"/>
        </w:rPr>
        <w:t>检测方法主要依据《</w:t>
      </w:r>
      <w:r>
        <w:rPr>
          <w:rFonts w:hint="default" w:ascii="Times New Roman" w:hAnsi="Times New Roman" w:eastAsia="宋体" w:cs="Times New Roman"/>
          <w:b w:val="0"/>
          <w:bCs w:val="0"/>
          <w:color w:val="000000"/>
          <w:kern w:val="0"/>
          <w:sz w:val="24"/>
          <w:szCs w:val="24"/>
          <w:highlight w:val="none"/>
          <w:lang w:val="en-US" w:eastAsia="zh-CN" w:bidi="ar"/>
        </w:rPr>
        <w:t>生活饮用水标准检验方法</w:t>
      </w:r>
      <w:r>
        <w:rPr>
          <w:rFonts w:hint="eastAsia" w:ascii="Times New Roman" w:hAnsi="Times New Roman" w:eastAsia="宋体" w:cs="Times New Roman"/>
          <w:b w:val="0"/>
          <w:bCs w:val="0"/>
          <w:color w:val="000000"/>
          <w:kern w:val="0"/>
          <w:sz w:val="24"/>
          <w:szCs w:val="24"/>
          <w:highlight w:val="none"/>
          <w:lang w:val="en-US" w:eastAsia="zh-CN" w:bidi="ar"/>
        </w:rPr>
        <w:t>》（</w:t>
      </w:r>
      <w:r>
        <w:rPr>
          <w:rFonts w:hint="default" w:ascii="Times New Roman" w:hAnsi="Times New Roman" w:eastAsia="宋体" w:cs="Times New Roman"/>
          <w:b w:val="0"/>
          <w:bCs w:val="0"/>
          <w:color w:val="000000"/>
          <w:kern w:val="0"/>
          <w:sz w:val="24"/>
          <w:szCs w:val="24"/>
          <w:highlight w:val="none"/>
          <w:lang w:val="en-US" w:eastAsia="zh-CN" w:bidi="ar"/>
        </w:rPr>
        <w:t>GB/T 5750-2023</w:t>
      </w:r>
      <w:r>
        <w:rPr>
          <w:rFonts w:hint="eastAsia" w:ascii="Times New Roman" w:hAnsi="Times New Roman" w:eastAsia="宋体" w:cs="Times New Roman"/>
          <w:b w:val="0"/>
          <w:bCs w:val="0"/>
          <w:color w:val="000000"/>
          <w:kern w:val="0"/>
          <w:sz w:val="24"/>
          <w:szCs w:val="24"/>
          <w:highlight w:val="none"/>
          <w:lang w:val="en-US" w:eastAsia="zh-CN" w:bidi="ar"/>
        </w:rPr>
        <w:t>）开展，所用检测仪器均经检定/校准合格，并在有效期内，具体情况详见表2。</w:t>
      </w:r>
    </w:p>
    <w:tbl>
      <w:tblPr>
        <w:tblStyle w:val="15"/>
        <w:tblW w:w="0" w:type="auto"/>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7"/>
        <w:gridCol w:w="712"/>
        <w:gridCol w:w="713"/>
        <w:gridCol w:w="3253"/>
        <w:gridCol w:w="2470"/>
        <w:gridCol w:w="1104"/>
        <w:gridCol w:w="1027"/>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425" w:type="dxa"/>
            <w:gridSpan w:val="2"/>
            <w:tcBorders>
              <w:tl2br w:val="nil"/>
              <w:tr2bl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检测项目</w:t>
            </w:r>
          </w:p>
        </w:tc>
        <w:tc>
          <w:tcPr>
            <w:tcW w:w="3253" w:type="dxa"/>
            <w:tcBorders>
              <w:tl2br w:val="nil"/>
              <w:tr2bl w:val="nil"/>
            </w:tcBorders>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bidi="ar"/>
              </w:rPr>
              <w:t>检测标准（方法）</w:t>
            </w:r>
          </w:p>
        </w:tc>
        <w:tc>
          <w:tcPr>
            <w:tcW w:w="2470" w:type="dxa"/>
            <w:tcBorders>
              <w:tl2br w:val="nil"/>
              <w:tr2bl w:val="nil"/>
            </w:tcBorders>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分析仪器名称/型号/编号</w:t>
            </w:r>
          </w:p>
        </w:tc>
        <w:tc>
          <w:tcPr>
            <w:tcW w:w="1104" w:type="dxa"/>
            <w:tcBorders>
              <w:tl2br w:val="nil"/>
              <w:tr2bl w:val="nil"/>
            </w:tcBorders>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bidi="ar"/>
              </w:rPr>
              <w:t>检出限</w:t>
            </w:r>
          </w:p>
        </w:tc>
        <w:tc>
          <w:tcPr>
            <w:tcW w:w="1027" w:type="dxa"/>
            <w:tcBorders>
              <w:tl2br w:val="nil"/>
              <w:tr2bl w:val="nil"/>
            </w:tcBorders>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bidi="ar"/>
              </w:rPr>
              <w:t>单位</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425" w:type="dxa"/>
            <w:gridSpan w:val="2"/>
            <w:tcBorders>
              <w:tl2br w:val="nil"/>
              <w:tr2bl w:val="nil"/>
            </w:tcBorders>
            <w:noWrap w:val="0"/>
            <w:vAlign w:val="center"/>
          </w:tcPr>
          <w:p>
            <w:pPr>
              <w:autoSpaceDN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总大肠菌群</w:t>
            </w:r>
          </w:p>
        </w:tc>
        <w:tc>
          <w:tcPr>
            <w:tcW w:w="3253"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 第12部分：微生物指标</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5750.12-2023</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5.1 多管发酵法</w:t>
            </w:r>
          </w:p>
        </w:tc>
        <w:tc>
          <w:tcPr>
            <w:tcW w:w="24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生化培养箱</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sz w:val="21"/>
                <w:szCs w:val="21"/>
                <w:highlight w:val="none"/>
              </w:rPr>
              <w:t>LRH-150B   SYZZ-SB-005-02</w:t>
            </w:r>
          </w:p>
        </w:tc>
        <w:tc>
          <w:tcPr>
            <w:tcW w:w="110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w:t>
            </w:r>
          </w:p>
        </w:tc>
        <w:tc>
          <w:tcPr>
            <w:tcW w:w="1027" w:type="dxa"/>
            <w:tcBorders>
              <w:tl2br w:val="nil"/>
              <w:tr2bl w:val="nil"/>
            </w:tcBorders>
            <w:noWrap w:val="0"/>
            <w:vAlign w:val="center"/>
          </w:tcPr>
          <w:p>
            <w:pPr>
              <w:widowControl/>
              <w:spacing w:line="240" w:lineRule="auto"/>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MPN</w:t>
            </w:r>
          </w:p>
          <w:p>
            <w:pPr>
              <w:widowControl/>
              <w:spacing w:line="240" w:lineRule="auto"/>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bidi="ar"/>
              </w:rPr>
              <w:t>/100m</w:t>
            </w:r>
            <w:r>
              <w:rPr>
                <w:rFonts w:hint="default" w:ascii="Times New Roman" w:hAnsi="Times New Roman" w:eastAsia="宋体" w:cs="Times New Roman"/>
                <w:color w:val="auto"/>
                <w:kern w:val="0"/>
                <w:sz w:val="21"/>
                <w:szCs w:val="21"/>
                <w:highlight w:val="none"/>
                <w:lang w:val="en-US" w:eastAsia="zh-CN" w:bidi="ar"/>
              </w:rPr>
              <w:t>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425" w:type="dxa"/>
            <w:gridSpan w:val="2"/>
            <w:tcBorders>
              <w:tl2br w:val="nil"/>
              <w:tr2bl w:val="nil"/>
            </w:tcBorders>
            <w:noWrap w:val="0"/>
            <w:vAlign w:val="center"/>
          </w:tcPr>
          <w:p>
            <w:pPr>
              <w:autoSpaceDN w:val="0"/>
              <w:spacing w:line="2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z w:val="21"/>
                <w:szCs w:val="21"/>
                <w:highlight w:val="none"/>
              </w:rPr>
              <w:t>大肠埃希氏菌</w:t>
            </w:r>
          </w:p>
        </w:tc>
        <w:tc>
          <w:tcPr>
            <w:tcW w:w="3253"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 第12部分：微生物指标</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5750.12-2023</w:t>
            </w:r>
          </w:p>
          <w:p>
            <w:pPr>
              <w:autoSpaceDN w:val="0"/>
              <w:spacing w:line="28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z w:val="21"/>
                <w:szCs w:val="21"/>
                <w:highlight w:val="none"/>
                <w:lang w:val="en-US" w:eastAsia="zh-CN"/>
              </w:rPr>
              <w:t>7.1 多管发酵法</w:t>
            </w:r>
          </w:p>
        </w:tc>
        <w:tc>
          <w:tcPr>
            <w:tcW w:w="24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生化培养箱</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sz w:val="21"/>
                <w:szCs w:val="21"/>
                <w:highlight w:val="none"/>
              </w:rPr>
              <w:t>LRH-150B   SYZZ-SB-005-02</w:t>
            </w:r>
          </w:p>
        </w:tc>
        <w:tc>
          <w:tcPr>
            <w:tcW w:w="110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w:t>
            </w:r>
          </w:p>
        </w:tc>
        <w:tc>
          <w:tcPr>
            <w:tcW w:w="1027" w:type="dxa"/>
            <w:tcBorders>
              <w:tl2br w:val="nil"/>
              <w:tr2bl w:val="nil"/>
            </w:tcBorders>
            <w:noWrap w:val="0"/>
            <w:vAlign w:val="center"/>
          </w:tcPr>
          <w:p>
            <w:pPr>
              <w:widowControl/>
              <w:spacing w:line="240" w:lineRule="auto"/>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MPN</w:t>
            </w:r>
          </w:p>
          <w:p>
            <w:pPr>
              <w:widowControl/>
              <w:spacing w:line="240" w:lineRule="auto"/>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bidi="ar"/>
              </w:rPr>
              <w:t>/100m</w:t>
            </w:r>
            <w:r>
              <w:rPr>
                <w:rFonts w:hint="default" w:ascii="Times New Roman" w:hAnsi="Times New Roman" w:eastAsia="宋体" w:cs="Times New Roman"/>
                <w:color w:val="auto"/>
                <w:kern w:val="0"/>
                <w:sz w:val="21"/>
                <w:szCs w:val="21"/>
                <w:highlight w:val="none"/>
                <w:lang w:val="en-US" w:eastAsia="zh-CN" w:bidi="ar"/>
              </w:rPr>
              <w:t>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1425" w:type="dxa"/>
            <w:gridSpan w:val="2"/>
            <w:tcBorders>
              <w:tl2br w:val="nil"/>
              <w:tr2bl w:val="nil"/>
            </w:tcBorders>
            <w:noWrap w:val="0"/>
            <w:vAlign w:val="center"/>
          </w:tcPr>
          <w:p>
            <w:pPr>
              <w:autoSpaceDN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菌落总数</w:t>
            </w:r>
          </w:p>
        </w:tc>
        <w:tc>
          <w:tcPr>
            <w:tcW w:w="3253"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 第12部分：微生物指标</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5750.12-2023</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4.1 平皿计数法</w:t>
            </w:r>
          </w:p>
        </w:tc>
        <w:tc>
          <w:tcPr>
            <w:tcW w:w="24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生化培养箱</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sz w:val="21"/>
                <w:szCs w:val="21"/>
              </w:rPr>
              <w:t>LRH-150B   SYZZ-SB-005-02</w:t>
            </w:r>
          </w:p>
        </w:tc>
        <w:tc>
          <w:tcPr>
            <w:tcW w:w="110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w:t>
            </w:r>
          </w:p>
        </w:tc>
        <w:tc>
          <w:tcPr>
            <w:tcW w:w="1027" w:type="dxa"/>
            <w:tcBorders>
              <w:tl2br w:val="nil"/>
              <w:tr2bl w:val="nil"/>
            </w:tcBorders>
            <w:noWrap w:val="0"/>
            <w:vAlign w:val="center"/>
          </w:tcPr>
          <w:p>
            <w:pPr>
              <w:widowControl/>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lang w:bidi="ar"/>
              </w:rPr>
              <w:t>CFU/mL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1425" w:type="dxa"/>
            <w:gridSpan w:val="2"/>
            <w:tcBorders>
              <w:tl2br w:val="nil"/>
              <w:tr2bl w:val="nil"/>
            </w:tcBorders>
            <w:noWrap w:val="0"/>
            <w:vAlign w:val="center"/>
          </w:tcPr>
          <w:p>
            <w:pPr>
              <w:adjustRightInd w:val="0"/>
              <w:snapToGrid w:val="0"/>
              <w:spacing w:line="256"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砷</w:t>
            </w:r>
          </w:p>
        </w:tc>
        <w:tc>
          <w:tcPr>
            <w:tcW w:w="3253"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 第6部分：金属和类金属指标</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5750.6-2023</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9.1 氢化物原子荧光法</w:t>
            </w:r>
          </w:p>
        </w:tc>
        <w:tc>
          <w:tcPr>
            <w:tcW w:w="2470"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原子荧光光</w:t>
            </w:r>
            <w:r>
              <w:rPr>
                <w:rFonts w:hint="default" w:ascii="Times New Roman" w:hAnsi="Times New Roman" w:eastAsia="宋体" w:cs="Times New Roman"/>
                <w:color w:val="auto"/>
                <w:sz w:val="21"/>
                <w:szCs w:val="21"/>
                <w:highlight w:val="none"/>
                <w:lang w:val="en-US" w:eastAsia="zh-CN"/>
              </w:rPr>
              <w:t>度计</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AFS-8510</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SYZZ-SB-044-02</w:t>
            </w:r>
          </w:p>
        </w:tc>
        <w:tc>
          <w:tcPr>
            <w:tcW w:w="110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1.0</w:t>
            </w:r>
          </w:p>
        </w:tc>
        <w:tc>
          <w:tcPr>
            <w:tcW w:w="1027" w:type="dxa"/>
            <w:tcBorders>
              <w:tl2br w:val="nil"/>
              <w:tr2bl w:val="nil"/>
            </w:tcBorders>
            <w:noWrap w:val="0"/>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i w:val="0"/>
                <w:snapToGrid/>
                <w:color w:val="auto"/>
                <w:sz w:val="21"/>
                <w:szCs w:val="21"/>
                <w:highlight w:val="none"/>
                <w:u w:val="none"/>
                <w:lang w:val="en-US" w:eastAsia="zh-CN"/>
              </w:rPr>
              <w:t>μ</w:t>
            </w:r>
            <w:r>
              <w:rPr>
                <w:rFonts w:hint="default" w:ascii="Times New Roman" w:hAnsi="Times New Roman" w:eastAsia="宋体" w:cs="Times New Roman"/>
                <w:b w:val="0"/>
                <w:i w:val="0"/>
                <w:snapToGrid/>
                <w:color w:val="auto"/>
                <w:sz w:val="21"/>
                <w:szCs w:val="21"/>
                <w:highlight w:val="none"/>
                <w:u w:val="none"/>
                <w:lang w:eastAsia="zh-CN"/>
              </w:rPr>
              <w:t>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425" w:type="dxa"/>
            <w:gridSpan w:val="2"/>
            <w:tcBorders>
              <w:tl2br w:val="nil"/>
              <w:tr2bl w:val="nil"/>
            </w:tcBorders>
            <w:noWrap w:val="0"/>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vertAlign w:val="baseline"/>
                <w:lang w:val="en-US" w:eastAsia="zh-CN"/>
              </w:rPr>
              <w:t>镉</w:t>
            </w:r>
          </w:p>
        </w:tc>
        <w:tc>
          <w:tcPr>
            <w:tcW w:w="3253"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 第6部分：金属和类金属指标</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5750.6-2023</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12.1 无火焰原子吸收分光光度法</w:t>
            </w:r>
          </w:p>
        </w:tc>
        <w:tc>
          <w:tcPr>
            <w:tcW w:w="247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原子吸收分光光度计</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GGX-830</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SYZZ-SB-029-02</w:t>
            </w:r>
          </w:p>
        </w:tc>
        <w:tc>
          <w:tcPr>
            <w:tcW w:w="110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0.5</w:t>
            </w:r>
          </w:p>
        </w:tc>
        <w:tc>
          <w:tcPr>
            <w:tcW w:w="10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1425" w:type="dxa"/>
            <w:gridSpan w:val="2"/>
            <w:tcBorders>
              <w:tl2br w:val="nil"/>
              <w:tr2bl w:val="nil"/>
            </w:tcBorders>
            <w:noWrap w:val="0"/>
            <w:vAlign w:val="center"/>
          </w:tcPr>
          <w:p>
            <w:pPr>
              <w:adjustRightInd w:val="0"/>
              <w:snapToGrid w:val="0"/>
              <w:spacing w:line="256"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铬（六价）</w:t>
            </w:r>
          </w:p>
        </w:tc>
        <w:tc>
          <w:tcPr>
            <w:tcW w:w="3253"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第6部分：金属和类金属指标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5750.6-2023</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13.1 二苯碳酰二肼分光光度法</w:t>
            </w:r>
          </w:p>
        </w:tc>
        <w:tc>
          <w:tcPr>
            <w:tcW w:w="2470"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紫外可见分光光度计</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T6新世纪</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SYZZ-SB-028-02</w:t>
            </w:r>
          </w:p>
        </w:tc>
        <w:tc>
          <w:tcPr>
            <w:tcW w:w="110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sz w:val="21"/>
                <w:szCs w:val="21"/>
                <w:highlight w:val="none"/>
                <w:vertAlign w:val="baseline"/>
                <w:lang w:val="en-US" w:eastAsia="zh-CN"/>
              </w:rPr>
              <w:t>0.004</w:t>
            </w:r>
          </w:p>
        </w:tc>
        <w:tc>
          <w:tcPr>
            <w:tcW w:w="1027" w:type="dxa"/>
            <w:tcBorders>
              <w:tl2br w:val="nil"/>
              <w:tr2bl w:val="nil"/>
            </w:tcBorders>
            <w:noWrap w:val="0"/>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b w:val="0"/>
                <w:i w:val="0"/>
                <w:snapToGrid/>
                <w:color w:val="auto"/>
                <w:sz w:val="21"/>
                <w:szCs w:val="21"/>
                <w:highlight w:val="none"/>
                <w:u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1425" w:type="dxa"/>
            <w:gridSpan w:val="2"/>
            <w:tcBorders>
              <w:tl2br w:val="nil"/>
              <w:tr2bl w:val="nil"/>
            </w:tcBorders>
            <w:noWrap w:val="0"/>
            <w:vAlign w:val="center"/>
          </w:tcPr>
          <w:p>
            <w:pPr>
              <w:adjustRightInd w:val="0"/>
              <w:snapToGrid w:val="0"/>
              <w:spacing w:line="256"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铅</w:t>
            </w:r>
          </w:p>
        </w:tc>
        <w:tc>
          <w:tcPr>
            <w:tcW w:w="3253"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第6部分：金属和类金属指标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5750.6-2023</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14.1 无火焰原子吸收分光光度法</w:t>
            </w:r>
          </w:p>
        </w:tc>
        <w:tc>
          <w:tcPr>
            <w:tcW w:w="2470"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原子吸收分光光度计</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GGX-830</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SYZZ-SB-029-02</w:t>
            </w:r>
          </w:p>
        </w:tc>
        <w:tc>
          <w:tcPr>
            <w:tcW w:w="110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2.5</w:t>
            </w:r>
          </w:p>
        </w:tc>
        <w:tc>
          <w:tcPr>
            <w:tcW w:w="10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1425" w:type="dxa"/>
            <w:gridSpan w:val="2"/>
            <w:tcBorders>
              <w:tl2br w:val="nil"/>
              <w:tr2bl w:val="nil"/>
            </w:tcBorders>
            <w:noWrap w:val="0"/>
            <w:vAlign w:val="center"/>
          </w:tcPr>
          <w:p>
            <w:pPr>
              <w:adjustRightInd w:val="0"/>
              <w:snapToGrid w:val="0"/>
              <w:spacing w:line="256"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汞</w:t>
            </w:r>
          </w:p>
        </w:tc>
        <w:tc>
          <w:tcPr>
            <w:tcW w:w="3253"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第6部分：金属和类金属指标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5750.6-2023</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11.1 原子荧光法</w:t>
            </w:r>
          </w:p>
        </w:tc>
        <w:tc>
          <w:tcPr>
            <w:tcW w:w="2470"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原子荧光光</w:t>
            </w:r>
            <w:r>
              <w:rPr>
                <w:rFonts w:hint="default" w:ascii="Times New Roman" w:hAnsi="Times New Roman" w:eastAsia="宋体" w:cs="Times New Roman"/>
                <w:color w:val="auto"/>
                <w:sz w:val="21"/>
                <w:szCs w:val="21"/>
                <w:highlight w:val="none"/>
                <w:lang w:val="en-US" w:eastAsia="zh-CN"/>
              </w:rPr>
              <w:t>度计</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AFS-8510</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SYZZ-SB-044-02</w:t>
            </w:r>
          </w:p>
        </w:tc>
        <w:tc>
          <w:tcPr>
            <w:tcW w:w="110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0.1</w:t>
            </w:r>
          </w:p>
        </w:tc>
        <w:tc>
          <w:tcPr>
            <w:tcW w:w="1027" w:type="dxa"/>
            <w:tcBorders>
              <w:tl2br w:val="nil"/>
              <w:tr2bl w:val="nil"/>
            </w:tcBorders>
            <w:noWrap w:val="0"/>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i w:val="0"/>
                <w:snapToGrid/>
                <w:color w:val="auto"/>
                <w:sz w:val="21"/>
                <w:szCs w:val="21"/>
                <w:highlight w:val="none"/>
                <w:u w:val="none"/>
                <w:lang w:val="en-US" w:eastAsia="zh-CN"/>
              </w:rPr>
              <w:t>μ</w:t>
            </w:r>
            <w:r>
              <w:rPr>
                <w:rFonts w:hint="default" w:ascii="Times New Roman" w:hAnsi="Times New Roman" w:eastAsia="宋体" w:cs="Times New Roman"/>
                <w:b w:val="0"/>
                <w:i w:val="0"/>
                <w:snapToGrid/>
                <w:color w:val="auto"/>
                <w:sz w:val="21"/>
                <w:szCs w:val="21"/>
                <w:highlight w:val="none"/>
                <w:u w:val="none"/>
                <w:lang w:eastAsia="zh-CN"/>
              </w:rPr>
              <w:t>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w:t>
            </w:r>
          </w:p>
        </w:tc>
        <w:tc>
          <w:tcPr>
            <w:tcW w:w="1425" w:type="dxa"/>
            <w:gridSpan w:val="2"/>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氰化物</w:t>
            </w:r>
          </w:p>
        </w:tc>
        <w:tc>
          <w:tcPr>
            <w:tcW w:w="3253"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第5部分：无机非金属指标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5750.5-2023</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7.1 异烟酸-吡唑啉酮分光光度法</w:t>
            </w:r>
          </w:p>
        </w:tc>
        <w:tc>
          <w:tcPr>
            <w:tcW w:w="2470"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紫外可见分光光度计</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T6新世纪</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SYZZ-SB-028-02</w:t>
            </w:r>
          </w:p>
        </w:tc>
        <w:tc>
          <w:tcPr>
            <w:tcW w:w="110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sz w:val="21"/>
                <w:szCs w:val="21"/>
                <w:highlight w:val="none"/>
                <w:vertAlign w:val="baseline"/>
                <w:lang w:val="en-US" w:eastAsia="zh-CN"/>
              </w:rPr>
              <w:t>0.002</w:t>
            </w:r>
          </w:p>
        </w:tc>
        <w:tc>
          <w:tcPr>
            <w:tcW w:w="1027" w:type="dxa"/>
            <w:tcBorders>
              <w:tl2br w:val="nil"/>
              <w:tr2bl w:val="nil"/>
            </w:tcBorders>
            <w:noWrap w:val="0"/>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b w:val="0"/>
                <w:i w:val="0"/>
                <w:snapToGrid/>
                <w:color w:val="auto"/>
                <w:sz w:val="21"/>
                <w:szCs w:val="21"/>
                <w:highlight w:val="none"/>
                <w:u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1425" w:type="dxa"/>
            <w:gridSpan w:val="2"/>
            <w:tcBorders>
              <w:tl2br w:val="nil"/>
              <w:tr2bl w:val="nil"/>
            </w:tcBorders>
            <w:noWrap w:val="0"/>
            <w:vAlign w:val="center"/>
          </w:tcPr>
          <w:p>
            <w:pPr>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val="en-US" w:eastAsia="zh-CN"/>
              </w:rPr>
              <w:t>氟化物</w:t>
            </w:r>
          </w:p>
        </w:tc>
        <w:tc>
          <w:tcPr>
            <w:tcW w:w="3253"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第5部分：无机非金属指标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5750.5-2023</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6.3 氟试剂分光光度法</w:t>
            </w:r>
          </w:p>
        </w:tc>
        <w:tc>
          <w:tcPr>
            <w:tcW w:w="2470"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紫外可见分光光度计</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T6新世纪</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SYZZ-SB-028-02</w:t>
            </w:r>
          </w:p>
        </w:tc>
        <w:tc>
          <w:tcPr>
            <w:tcW w:w="110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vertAlign w:val="baseline"/>
                <w:lang w:val="en-US" w:eastAsia="zh-CN"/>
              </w:rPr>
              <w:t>0.1</w:t>
            </w:r>
          </w:p>
        </w:tc>
        <w:tc>
          <w:tcPr>
            <w:tcW w:w="1027" w:type="dxa"/>
            <w:tcBorders>
              <w:tl2br w:val="nil"/>
              <w:tr2bl w:val="nil"/>
            </w:tcBorders>
            <w:noWrap w:val="0"/>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i w:val="0"/>
                <w:snapToGrid/>
                <w:color w:val="auto"/>
                <w:sz w:val="21"/>
                <w:szCs w:val="21"/>
                <w:highlight w:val="none"/>
                <w:u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11</w:t>
            </w:r>
          </w:p>
        </w:tc>
        <w:tc>
          <w:tcPr>
            <w:tcW w:w="1425" w:type="dxa"/>
            <w:gridSpan w:val="2"/>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硝酸盐</w:t>
            </w:r>
          </w:p>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（以</w:t>
            </w:r>
            <w:r>
              <w:rPr>
                <w:rFonts w:hint="default" w:ascii="Times New Roman" w:hAnsi="Times New Roman" w:eastAsia="宋体" w:cs="Times New Roman"/>
                <w:color w:val="auto"/>
                <w:sz w:val="21"/>
                <w:szCs w:val="21"/>
                <w:highlight w:val="none"/>
                <w:lang w:val="en-US" w:eastAsia="zh-CN"/>
              </w:rPr>
              <w:t>N计</w:t>
            </w:r>
            <w:r>
              <w:rPr>
                <w:rFonts w:hint="default" w:ascii="Times New Roman" w:hAnsi="Times New Roman" w:eastAsia="宋体" w:cs="Times New Roman"/>
                <w:color w:val="auto"/>
                <w:sz w:val="21"/>
                <w:szCs w:val="21"/>
                <w:highlight w:val="none"/>
                <w:lang w:eastAsia="zh-CN"/>
              </w:rPr>
              <w:t>）</w:t>
            </w:r>
          </w:p>
        </w:tc>
        <w:tc>
          <w:tcPr>
            <w:tcW w:w="3253"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第5部分：无机非金属指标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5750.5-2023</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8.2 紫外分光光度法</w:t>
            </w:r>
          </w:p>
        </w:tc>
        <w:tc>
          <w:tcPr>
            <w:tcW w:w="2470"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紫外可见分光光度计</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T6新世纪</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SYZZ-SB-028-02</w:t>
            </w:r>
          </w:p>
        </w:tc>
        <w:tc>
          <w:tcPr>
            <w:tcW w:w="110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sz w:val="21"/>
                <w:szCs w:val="21"/>
                <w:highlight w:val="none"/>
                <w:vertAlign w:val="baseline"/>
                <w:lang w:val="en-US" w:eastAsia="zh-CN"/>
              </w:rPr>
              <w:t>0.2</w:t>
            </w:r>
          </w:p>
        </w:tc>
        <w:tc>
          <w:tcPr>
            <w:tcW w:w="1027" w:type="dxa"/>
            <w:tcBorders>
              <w:tl2br w:val="nil"/>
              <w:tr2bl w:val="nil"/>
            </w:tcBorders>
            <w:noWrap w:val="0"/>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b w:val="0"/>
                <w:i w:val="0"/>
                <w:snapToGrid/>
                <w:color w:val="auto"/>
                <w:sz w:val="21"/>
                <w:szCs w:val="21"/>
                <w:highlight w:val="none"/>
                <w:u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12</w:t>
            </w:r>
          </w:p>
        </w:tc>
        <w:tc>
          <w:tcPr>
            <w:tcW w:w="1425" w:type="dxa"/>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三氯甲烷</w:t>
            </w:r>
          </w:p>
        </w:tc>
        <w:tc>
          <w:tcPr>
            <w:tcW w:w="3253" w:type="dxa"/>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w:t>
            </w:r>
          </w:p>
          <w:p>
            <w:pPr>
              <w:autoSpaceDN w:val="0"/>
              <w:spacing w:line="280" w:lineRule="exact"/>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第10部分：消毒副产物指标</w:t>
            </w:r>
          </w:p>
          <w:p>
            <w:pPr>
              <w:autoSpaceDN w:val="0"/>
              <w:spacing w:line="280" w:lineRule="exact"/>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GB/T 5750.10-2023</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4.2 吹扫捕集气相色谱质谱法</w:t>
            </w:r>
          </w:p>
        </w:tc>
        <w:tc>
          <w:tcPr>
            <w:tcW w:w="2470" w:type="dxa"/>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气相色谱质谱仪GCMS-QP2010 SE</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SYZZ-SB-071-04</w:t>
            </w:r>
          </w:p>
        </w:tc>
        <w:tc>
          <w:tcPr>
            <w:tcW w:w="1104"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lang w:val="en-US" w:eastAsia="zh-CN"/>
              </w:rPr>
              <w:t>0.120</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i w:val="0"/>
                <w:snapToGrid/>
                <w:color w:val="auto"/>
                <w:kern w:val="2"/>
                <w:sz w:val="21"/>
                <w:szCs w:val="21"/>
                <w:highlight w:val="none"/>
                <w:u w:val="none"/>
                <w:lang w:val="en-US" w:eastAsia="zh-CN" w:bidi="ar-SA"/>
              </w:rPr>
            </w:pPr>
            <w:r>
              <w:rPr>
                <w:rFonts w:hint="default" w:ascii="Times New Roman" w:hAnsi="Times New Roman" w:eastAsia="宋体" w:cs="Times New Roman"/>
                <w:color w:val="auto"/>
                <w:sz w:val="21"/>
                <w:szCs w:val="21"/>
                <w:highlight w:val="none"/>
                <w:lang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13</w:t>
            </w:r>
          </w:p>
        </w:tc>
        <w:tc>
          <w:tcPr>
            <w:tcW w:w="1425" w:type="dxa"/>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一氯二溴甲烷</w:t>
            </w:r>
          </w:p>
        </w:tc>
        <w:tc>
          <w:tcPr>
            <w:tcW w:w="3253" w:type="dxa"/>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w:t>
            </w:r>
          </w:p>
          <w:p>
            <w:pPr>
              <w:autoSpaceDN w:val="0"/>
              <w:spacing w:line="280" w:lineRule="exact"/>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第10部分：消毒副产物指标</w:t>
            </w:r>
          </w:p>
          <w:p>
            <w:pPr>
              <w:autoSpaceDN w:val="0"/>
              <w:spacing w:line="280" w:lineRule="exact"/>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GB/T 5750.10-2023</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7.1 吹扫捕集气相色谱质谱法</w:t>
            </w:r>
          </w:p>
        </w:tc>
        <w:tc>
          <w:tcPr>
            <w:tcW w:w="2470" w:type="dxa"/>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气相色谱质谱仪GCMS-QP2010 SE</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SYZZ-SB-071-04</w:t>
            </w:r>
          </w:p>
        </w:tc>
        <w:tc>
          <w:tcPr>
            <w:tcW w:w="1104"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lang w:val="en-US" w:eastAsia="zh-CN"/>
              </w:rPr>
              <w:t>0.251</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i w:val="0"/>
                <w:snapToGrid/>
                <w:color w:val="auto"/>
                <w:kern w:val="2"/>
                <w:sz w:val="21"/>
                <w:szCs w:val="21"/>
                <w:highlight w:val="none"/>
                <w:u w:val="none"/>
                <w:lang w:val="en-US" w:eastAsia="zh-CN" w:bidi="ar-SA"/>
              </w:rPr>
            </w:pPr>
            <w:r>
              <w:rPr>
                <w:rFonts w:hint="default" w:ascii="Times New Roman" w:hAnsi="Times New Roman" w:eastAsia="宋体" w:cs="Times New Roman"/>
                <w:color w:val="auto"/>
                <w:sz w:val="21"/>
                <w:szCs w:val="21"/>
                <w:highlight w:val="none"/>
                <w:lang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14</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二氯一溴甲烷</w:t>
            </w:r>
          </w:p>
        </w:tc>
        <w:tc>
          <w:tcPr>
            <w:tcW w:w="0" w:type="auto"/>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第10部分：消毒副产物指标</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5750.10-2023</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6.1 吹扫捕集气相色谱质谱法</w:t>
            </w:r>
          </w:p>
        </w:tc>
        <w:tc>
          <w:tcPr>
            <w:tcW w:w="0" w:type="auto"/>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气相色谱质谱仪GCMS-QP2010 SE</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SYZZ-SB-071-04</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lang w:val="en-US" w:eastAsia="zh-CN"/>
              </w:rPr>
              <w:t>0.290</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i w:val="0"/>
                <w:snapToGrid/>
                <w:color w:val="auto"/>
                <w:kern w:val="2"/>
                <w:sz w:val="21"/>
                <w:szCs w:val="21"/>
                <w:highlight w:val="none"/>
                <w:u w:val="none"/>
                <w:lang w:val="en-US" w:eastAsia="zh-CN" w:bidi="ar-SA"/>
              </w:rPr>
            </w:pPr>
            <w:r>
              <w:rPr>
                <w:rFonts w:hint="default" w:ascii="Times New Roman" w:hAnsi="Times New Roman" w:eastAsia="宋体" w:cs="Times New Roman"/>
                <w:color w:val="auto"/>
                <w:sz w:val="21"/>
                <w:szCs w:val="21"/>
                <w:highlight w:val="none"/>
                <w:lang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三溴甲烷</w:t>
            </w:r>
          </w:p>
        </w:tc>
        <w:tc>
          <w:tcPr>
            <w:tcW w:w="0" w:type="auto"/>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第10部分：消毒副产物指标</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5750.10-2023</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5.1 吹扫捕集气相色谱质谱法</w:t>
            </w:r>
          </w:p>
        </w:tc>
        <w:tc>
          <w:tcPr>
            <w:tcW w:w="0" w:type="auto"/>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气相色谱质谱仪GCMS-QP2010 SE</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SYZZ-SB-071-04</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lang w:val="en-US" w:eastAsia="zh-CN"/>
              </w:rPr>
              <w:t>0.251</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i w:val="0"/>
                <w:snapToGrid/>
                <w:color w:val="auto"/>
                <w:kern w:val="2"/>
                <w:sz w:val="21"/>
                <w:szCs w:val="21"/>
                <w:highlight w:val="none"/>
                <w:u w:val="none"/>
                <w:lang w:val="en-US" w:eastAsia="zh-CN" w:bidi="ar-SA"/>
              </w:rPr>
            </w:pPr>
            <w:r>
              <w:rPr>
                <w:rFonts w:hint="default" w:ascii="Times New Roman" w:hAnsi="Times New Roman" w:eastAsia="宋体" w:cs="Times New Roman"/>
                <w:color w:val="auto"/>
                <w:sz w:val="21"/>
                <w:szCs w:val="21"/>
                <w:highlight w:val="none"/>
                <w:lang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37" w:type="dxa"/>
            <w:vMerge w:val="restart"/>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16</w:t>
            </w:r>
          </w:p>
        </w:tc>
        <w:tc>
          <w:tcPr>
            <w:tcW w:w="712" w:type="dxa"/>
            <w:vMerge w:val="restart"/>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snapToGrid w:val="0"/>
                <w:kern w:val="0"/>
                <w:sz w:val="21"/>
                <w:szCs w:val="21"/>
                <w:highlight w:val="none"/>
                <w:lang w:val="en-US" w:eastAsia="zh-CN" w:bidi="ar-SA"/>
              </w:rPr>
              <w:t>三卤甲烷</w:t>
            </w:r>
          </w:p>
        </w:tc>
        <w:tc>
          <w:tcPr>
            <w:tcW w:w="713" w:type="dxa"/>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三氯甲烷</w:t>
            </w:r>
          </w:p>
        </w:tc>
        <w:tc>
          <w:tcPr>
            <w:tcW w:w="3253" w:type="dxa"/>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第10部分：消毒副产物指标</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GB/T 5750.10-2023</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4.2 吹扫捕集气相色谱质谱法</w:t>
            </w:r>
          </w:p>
        </w:tc>
        <w:tc>
          <w:tcPr>
            <w:tcW w:w="2470" w:type="dxa"/>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气相色谱质谱仪GCMS-QP2010 SE</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SYZZ-SB-071-04</w:t>
            </w:r>
          </w:p>
        </w:tc>
        <w:tc>
          <w:tcPr>
            <w:tcW w:w="1104"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0.120</w:t>
            </w:r>
          </w:p>
        </w:tc>
        <w:tc>
          <w:tcPr>
            <w:tcW w:w="1027"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37" w:type="dxa"/>
            <w:vMerge w:val="continue"/>
            <w:tcBorders>
              <w:tl2br w:val="nil"/>
              <w:tr2bl w:val="nil"/>
            </w:tcBorders>
            <w:vAlign w:val="center"/>
          </w:tcPr>
          <w:p>
            <w:pPr>
              <w:jc w:val="center"/>
              <w:rPr>
                <w:rFonts w:hint="default" w:ascii="Times New Roman" w:hAnsi="Times New Roman" w:eastAsia="宋体" w:cs="Times New Roman"/>
                <w:sz w:val="21"/>
                <w:szCs w:val="21"/>
                <w:lang w:val="en-US" w:eastAsia="zh-CN"/>
              </w:rPr>
            </w:pPr>
          </w:p>
        </w:tc>
        <w:tc>
          <w:tcPr>
            <w:tcW w:w="712" w:type="dxa"/>
            <w:vMerge w:val="continue"/>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p>
        </w:tc>
        <w:tc>
          <w:tcPr>
            <w:tcW w:w="713" w:type="dxa"/>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一氯二溴甲烷</w:t>
            </w:r>
          </w:p>
        </w:tc>
        <w:tc>
          <w:tcPr>
            <w:tcW w:w="3253" w:type="dxa"/>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第10部分：消毒副产物指标</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GB/T 5750.10-2023</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7.1 吹扫捕集气相色谱质谱法</w:t>
            </w:r>
          </w:p>
        </w:tc>
        <w:tc>
          <w:tcPr>
            <w:tcW w:w="2470" w:type="dxa"/>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气相色谱质谱仪GCMS-QP2010 SE</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SYZZ-SB-071-04</w:t>
            </w:r>
          </w:p>
        </w:tc>
        <w:tc>
          <w:tcPr>
            <w:tcW w:w="1104"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0.251</w:t>
            </w:r>
          </w:p>
        </w:tc>
        <w:tc>
          <w:tcPr>
            <w:tcW w:w="1027"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37" w:type="dxa"/>
            <w:vMerge w:val="continue"/>
            <w:tcBorders>
              <w:tl2br w:val="nil"/>
              <w:tr2bl w:val="nil"/>
            </w:tcBorders>
            <w:vAlign w:val="center"/>
          </w:tcPr>
          <w:p>
            <w:pPr>
              <w:jc w:val="center"/>
              <w:rPr>
                <w:rFonts w:hint="default" w:ascii="Times New Roman" w:hAnsi="Times New Roman" w:eastAsia="宋体" w:cs="Times New Roman"/>
                <w:sz w:val="21"/>
                <w:szCs w:val="21"/>
                <w:lang w:val="en-US" w:eastAsia="zh-CN"/>
              </w:rPr>
            </w:pPr>
          </w:p>
        </w:tc>
        <w:tc>
          <w:tcPr>
            <w:tcW w:w="712" w:type="dxa"/>
            <w:vMerge w:val="continue"/>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p>
        </w:tc>
        <w:tc>
          <w:tcPr>
            <w:tcW w:w="713" w:type="dxa"/>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二氯一溴甲烷</w:t>
            </w:r>
          </w:p>
        </w:tc>
        <w:tc>
          <w:tcPr>
            <w:tcW w:w="3253" w:type="dxa"/>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第10部分：消毒副产物指标</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5750.10-2023</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6.1 吹扫捕集气相色谱质谱法</w:t>
            </w:r>
          </w:p>
        </w:tc>
        <w:tc>
          <w:tcPr>
            <w:tcW w:w="2470" w:type="dxa"/>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气相色谱质谱仪GCMS-QP2010 SE</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SYZZ-SB-071-04</w:t>
            </w:r>
          </w:p>
        </w:tc>
        <w:tc>
          <w:tcPr>
            <w:tcW w:w="1104"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0.290</w:t>
            </w:r>
          </w:p>
        </w:tc>
        <w:tc>
          <w:tcPr>
            <w:tcW w:w="1027"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37" w:type="dxa"/>
            <w:vMerge w:val="continue"/>
            <w:tcBorders>
              <w:tl2br w:val="nil"/>
              <w:tr2bl w:val="nil"/>
            </w:tcBorders>
            <w:vAlign w:val="center"/>
          </w:tcPr>
          <w:p>
            <w:pPr>
              <w:jc w:val="center"/>
              <w:rPr>
                <w:rFonts w:hint="default" w:ascii="Times New Roman" w:hAnsi="Times New Roman" w:eastAsia="宋体" w:cs="Times New Roman"/>
                <w:sz w:val="21"/>
                <w:szCs w:val="21"/>
                <w:lang w:val="en-US" w:eastAsia="zh-CN"/>
              </w:rPr>
            </w:pPr>
          </w:p>
        </w:tc>
        <w:tc>
          <w:tcPr>
            <w:tcW w:w="712" w:type="dxa"/>
            <w:vMerge w:val="continue"/>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p>
        </w:tc>
        <w:tc>
          <w:tcPr>
            <w:tcW w:w="713" w:type="dxa"/>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三溴甲烷</w:t>
            </w:r>
          </w:p>
        </w:tc>
        <w:tc>
          <w:tcPr>
            <w:tcW w:w="3253" w:type="dxa"/>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第10部分：消毒副产物指标</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5750.10-2023</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5.1 吹扫捕集气相色谱质谱法</w:t>
            </w:r>
          </w:p>
        </w:tc>
        <w:tc>
          <w:tcPr>
            <w:tcW w:w="2470" w:type="dxa"/>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气相色谱质谱仪GCMS-QP2010 SE</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SYZZ-SB-071-04</w:t>
            </w:r>
          </w:p>
        </w:tc>
        <w:tc>
          <w:tcPr>
            <w:tcW w:w="1104"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0.251</w:t>
            </w:r>
          </w:p>
        </w:tc>
        <w:tc>
          <w:tcPr>
            <w:tcW w:w="1027"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37" w:type="dxa"/>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17</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二氯乙酸</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 第10部分：消毒副产物指标</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5750.10-2023</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15.1 液液萃取衍生气相色谱法</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气相色谱仪</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GC-9790Plus</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SYZZ-SB-030-03</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18</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三氯乙酸</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 第10部分：消毒副产物指标</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5750.10-2023</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16.1 液液萃取衍生气相色谱法</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气相色谱仪</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GC-9790Plus</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SYZZ-SB-030-03</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1.0</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19</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溴酸盐</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 第10部分：消毒副产物指标</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5750.10-2023</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22.1 离子色谱法-氢氧根系统淋洗液</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离子色谱仪</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CIC-D120</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SYZZ-SB-032-02</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sz w:val="21"/>
                <w:szCs w:val="21"/>
                <w:highlight w:val="none"/>
                <w:lang w:val="en-US" w:eastAsia="zh-CN" w:bidi="ar"/>
              </w:rPr>
              <w:t>5</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sz w:val="21"/>
                <w:szCs w:val="21"/>
                <w:highlight w:val="none"/>
                <w:lang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亚氯酸盐</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 第10部分：消毒副产物指标</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5750.10-2023</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20.1 碘量法</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5mL</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微量滴定管（棕）SYZZ-SB-141-01</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0.04</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21</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氯酸盐</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 第10部分：消毒副产物指标</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5750.10-2023</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21.1 碘量法</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5mL</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微量滴定管（棕）SYZZ-SB-141-01</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0.23</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b w:val="0"/>
                <w:i w:val="0"/>
                <w:snapToGrid/>
                <w:color w:val="auto"/>
                <w:kern w:val="2"/>
                <w:sz w:val="21"/>
                <w:szCs w:val="21"/>
                <w:highlight w:val="none"/>
                <w:u w:val="none"/>
                <w:lang w:val="en-US" w:eastAsia="zh-CN" w:bidi="ar-SA"/>
              </w:rPr>
            </w:pPr>
            <w:r>
              <w:rPr>
                <w:rFonts w:hint="default" w:ascii="Times New Roman" w:hAnsi="Times New Roman" w:eastAsia="宋体" w:cs="Times New Roman"/>
                <w:b w:val="0"/>
                <w:i w:val="0"/>
                <w:snapToGrid/>
                <w:color w:val="auto"/>
                <w:sz w:val="21"/>
                <w:szCs w:val="21"/>
                <w:highlight w:val="none"/>
                <w:u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22</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色度</w:t>
            </w:r>
          </w:p>
        </w:tc>
        <w:tc>
          <w:tcPr>
            <w:tcW w:w="0" w:type="auto"/>
            <w:tcBorders>
              <w:tl2br w:val="nil"/>
              <w:tr2bl w:val="nil"/>
            </w:tcBorders>
            <w:vAlign w:val="center"/>
          </w:tcPr>
          <w:p>
            <w:pPr>
              <w:keepNext w:val="0"/>
              <w:keepLines w:val="0"/>
              <w:pageBreakBefore w:val="0"/>
              <w:kinsoku/>
              <w:wordWrap/>
              <w:overflowPunct/>
              <w:topLinePunct w:val="0"/>
              <w:autoSpaceDE/>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第4部分：感官性状和物理指标</w:t>
            </w:r>
          </w:p>
          <w:p>
            <w:pPr>
              <w:keepNext w:val="0"/>
              <w:keepLines w:val="0"/>
              <w:pageBreakBefore w:val="0"/>
              <w:kinsoku/>
              <w:wordWrap/>
              <w:overflowPunct/>
              <w:topLinePunct w:val="0"/>
              <w:autoSpaceDE/>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5750.4-2023</w:t>
            </w:r>
          </w:p>
          <w:p>
            <w:pPr>
              <w:keepNext w:val="0"/>
              <w:keepLines w:val="0"/>
              <w:pageBreakBefore w:val="0"/>
              <w:kinsoku/>
              <w:wordWrap/>
              <w:overflowPunct/>
              <w:topLinePunct w:val="0"/>
              <w:autoSpaceDE/>
              <w:bidi w:val="0"/>
              <w:adjustRightInd/>
              <w:snapToGrid/>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4.1 铂-钴标准比色法</w:t>
            </w:r>
          </w:p>
        </w:tc>
        <w:tc>
          <w:tcPr>
            <w:tcW w:w="0" w:type="auto"/>
            <w:tcBorders>
              <w:tl2br w:val="nil"/>
              <w:tr2bl w:val="nil"/>
            </w:tcBorders>
            <w:vAlign w:val="center"/>
          </w:tcPr>
          <w:p>
            <w:pPr>
              <w:keepNext w:val="0"/>
              <w:keepLines w:val="0"/>
              <w:pageBreakBefore w:val="0"/>
              <w:widowControl/>
              <w:suppressLineNumbers w:val="0"/>
              <w:kinsoku/>
              <w:wordWrap/>
              <w:overflowPunct/>
              <w:topLinePunct w:val="0"/>
              <w:autoSpaceDE/>
              <w:bidi w:val="0"/>
              <w:adjustRightInd/>
              <w:snapToGrid/>
              <w:spacing w:line="300" w:lineRule="exact"/>
              <w:ind w:right="0" w:rightChars="0"/>
              <w:jc w:val="center"/>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50mL比色管</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auto"/>
                <w:sz w:val="21"/>
                <w:szCs w:val="21"/>
                <w:highlight w:val="none"/>
                <w:vertAlign w:val="baseline"/>
                <w:lang w:val="en-US" w:eastAsia="zh-CN"/>
              </w:rPr>
              <w:t>5</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auto"/>
                <w:sz w:val="21"/>
                <w:szCs w:val="21"/>
                <w:highlight w:val="none"/>
                <w:vertAlign w:val="baseline"/>
                <w:lang w:eastAsia="zh-CN"/>
              </w:rPr>
              <w:t>度</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23</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浑浊度</w:t>
            </w:r>
          </w:p>
        </w:tc>
        <w:tc>
          <w:tcPr>
            <w:tcW w:w="0" w:type="auto"/>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第4部分：感官性状和物理指标</w:t>
            </w:r>
          </w:p>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5750.4-2023</w:t>
            </w:r>
          </w:p>
          <w:p>
            <w:pPr>
              <w:adjustRightInd w:val="0"/>
              <w:snapToGrid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5.1 散射法-福尔马肼标准</w:t>
            </w:r>
          </w:p>
        </w:tc>
        <w:tc>
          <w:tcPr>
            <w:tcW w:w="0" w:type="auto"/>
            <w:tcBorders>
              <w:tl2br w:val="nil"/>
              <w:tr2bl w:val="nil"/>
            </w:tcBorders>
            <w:vAlign w:val="center"/>
          </w:tcPr>
          <w:p>
            <w:pPr>
              <w:widowControl/>
              <w:spacing w:line="28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浊度计</w:t>
            </w:r>
          </w:p>
          <w:p>
            <w:pPr>
              <w:widowControl/>
              <w:spacing w:line="28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WGZ-200AS</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SYZZ-SB-113-01</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0.5</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NTU</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24</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臭和味</w:t>
            </w:r>
          </w:p>
        </w:tc>
        <w:tc>
          <w:tcPr>
            <w:tcW w:w="0" w:type="auto"/>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第4部分：感官性状和物理指标</w:t>
            </w:r>
          </w:p>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5750.4-2023</w:t>
            </w:r>
          </w:p>
          <w:p>
            <w:pPr>
              <w:adjustRightInd w:val="0"/>
              <w:snapToGrid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6.1 嗅气和尝味法</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250mL锥形瓶</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auto"/>
                <w:sz w:val="21"/>
                <w:szCs w:val="21"/>
                <w:highlight w:val="none"/>
                <w:vertAlign w:val="baseline"/>
                <w:lang w:eastAsia="zh-CN"/>
              </w:rPr>
              <w:t>——</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auto"/>
                <w:sz w:val="21"/>
                <w:szCs w:val="21"/>
                <w:highlight w:val="none"/>
                <w:vertAlign w:val="baseline"/>
                <w:lang w:eastAsia="zh-CN"/>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25</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肉眼可见物</w:t>
            </w:r>
          </w:p>
        </w:tc>
        <w:tc>
          <w:tcPr>
            <w:tcW w:w="0" w:type="auto"/>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第4部分：感官性状和物理指标</w:t>
            </w:r>
          </w:p>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5750.4-2023</w:t>
            </w:r>
          </w:p>
          <w:p>
            <w:pPr>
              <w:adjustRightInd w:val="0"/>
              <w:snapToGrid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7.1 直接观察法</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color w:val="auto"/>
                <w:sz w:val="21"/>
                <w:szCs w:val="21"/>
                <w:highlight w:val="none"/>
                <w:vertAlign w:val="baseline"/>
                <w:lang w:eastAsia="zh-CN"/>
              </w:rPr>
              <w:t>——</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auto"/>
                <w:sz w:val="21"/>
                <w:szCs w:val="21"/>
                <w:highlight w:val="none"/>
                <w:vertAlign w:val="baseline"/>
                <w:lang w:eastAsia="zh-CN"/>
              </w:rPr>
              <w:t>——</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auto"/>
                <w:sz w:val="21"/>
                <w:szCs w:val="21"/>
                <w:highlight w:val="none"/>
                <w:vertAlign w:val="baseline"/>
                <w:lang w:eastAsia="zh-CN"/>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26</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pH</w:t>
            </w:r>
            <w:r>
              <w:rPr>
                <w:rFonts w:hint="default" w:ascii="Times New Roman" w:hAnsi="Times New Roman" w:eastAsia="宋体" w:cs="Times New Roman"/>
                <w:color w:val="auto"/>
                <w:sz w:val="21"/>
                <w:szCs w:val="21"/>
                <w:highlight w:val="none"/>
                <w:lang w:val="en-US" w:eastAsia="zh-CN"/>
              </w:rPr>
              <w:t>值</w:t>
            </w:r>
          </w:p>
        </w:tc>
        <w:tc>
          <w:tcPr>
            <w:tcW w:w="0" w:type="auto"/>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第4部分：感官性状和物理指标</w:t>
            </w:r>
          </w:p>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5750.4-2023</w:t>
            </w:r>
          </w:p>
          <w:p>
            <w:pPr>
              <w:adjustRightInd w:val="0"/>
              <w:snapToGrid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8.1 玻璃电极法</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PH计</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PHS-3C</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SYZZ-SB-014-02</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无量纲</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27</w:t>
            </w:r>
          </w:p>
        </w:tc>
        <w:tc>
          <w:tcPr>
            <w:tcW w:w="0" w:type="auto"/>
            <w:gridSpan w:val="2"/>
            <w:tcBorders>
              <w:tl2br w:val="nil"/>
              <w:tr2bl w:val="nil"/>
            </w:tcBorders>
            <w:vAlign w:val="center"/>
          </w:tcPr>
          <w:p>
            <w:pPr>
              <w:adjustRightInd w:val="0"/>
              <w:snapToGrid w:val="0"/>
              <w:spacing w:line="256" w:lineRule="exact"/>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rPr>
              <w:t>铝</w:t>
            </w:r>
          </w:p>
        </w:tc>
        <w:tc>
          <w:tcPr>
            <w:tcW w:w="0" w:type="auto"/>
            <w:tcBorders>
              <w:tl2br w:val="nil"/>
              <w:tr2bl w:val="nil"/>
            </w:tcBorders>
            <w:vAlign w:val="center"/>
          </w:tcPr>
          <w:p>
            <w:pPr>
              <w:autoSpaceDN w:val="0"/>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第6部分：金属和类金属指标</w:t>
            </w:r>
          </w:p>
          <w:p>
            <w:pPr>
              <w:autoSpaceDN w:val="0"/>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5750.6-2023</w:t>
            </w:r>
          </w:p>
          <w:p>
            <w:pPr>
              <w:autoSpaceDN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4.1 铬天青S分光光度法</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紫外可见分光光度计</w:t>
            </w:r>
          </w:p>
          <w:p>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T6新世纪</w:t>
            </w:r>
          </w:p>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rPr>
              <w:t>SYZZ-SB-028-02</w:t>
            </w:r>
          </w:p>
        </w:tc>
        <w:tc>
          <w:tcPr>
            <w:tcW w:w="0" w:type="auto"/>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0.008</w:t>
            </w:r>
          </w:p>
        </w:tc>
        <w:tc>
          <w:tcPr>
            <w:tcW w:w="0" w:type="auto"/>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vertAlign w:val="baseline"/>
                <w:lang w:val="en-US"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28</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铁</w:t>
            </w:r>
          </w:p>
        </w:tc>
        <w:tc>
          <w:tcPr>
            <w:tcW w:w="0" w:type="auto"/>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第6部分：金属和类金属指标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5750.6-2023</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5.1 火焰原子吸收分光光度法</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原子吸收分光光度计</w:t>
            </w:r>
          </w:p>
          <w:p>
            <w:pPr>
              <w:widowControl/>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AA-7003</w:t>
            </w:r>
          </w:p>
          <w:p>
            <w:pPr>
              <w:widowControl/>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kern w:val="0"/>
                <w:sz w:val="21"/>
                <w:szCs w:val="21"/>
                <w:highlight w:val="none"/>
              </w:rPr>
              <w:t>SYZZ-SB-029-01</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3</w:t>
            </w:r>
          </w:p>
        </w:tc>
        <w:tc>
          <w:tcPr>
            <w:tcW w:w="0" w:type="auto"/>
            <w:tcBorders>
              <w:tl2br w:val="nil"/>
              <w:tr2bl w:val="nil"/>
            </w:tcBorders>
            <w:vAlign w:val="center"/>
          </w:tcPr>
          <w:p>
            <w:pPr>
              <w:autoSpaceDN w:val="0"/>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kern w:val="0"/>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29</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锰</w:t>
            </w:r>
          </w:p>
        </w:tc>
        <w:tc>
          <w:tcPr>
            <w:tcW w:w="0" w:type="auto"/>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第6部分：金属和类金属指标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5750.6-2023</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6.1 火焰原子吸收分光光度法</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原子吸收分光光度计</w:t>
            </w:r>
          </w:p>
          <w:p>
            <w:pPr>
              <w:widowControl/>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AA-7003</w:t>
            </w:r>
          </w:p>
          <w:p>
            <w:pPr>
              <w:widowControl/>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kern w:val="0"/>
                <w:sz w:val="21"/>
                <w:szCs w:val="21"/>
                <w:highlight w:val="none"/>
              </w:rPr>
              <w:t>SYZZ-SB-029-01</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1</w:t>
            </w:r>
          </w:p>
        </w:tc>
        <w:tc>
          <w:tcPr>
            <w:tcW w:w="0" w:type="auto"/>
            <w:tcBorders>
              <w:tl2br w:val="nil"/>
              <w:tr2bl w:val="nil"/>
            </w:tcBorders>
            <w:vAlign w:val="center"/>
          </w:tcPr>
          <w:p>
            <w:pPr>
              <w:autoSpaceDN w:val="0"/>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kern w:val="0"/>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w:t>
            </w:r>
          </w:p>
        </w:tc>
        <w:tc>
          <w:tcPr>
            <w:tcW w:w="0" w:type="auto"/>
            <w:gridSpan w:val="2"/>
            <w:tcBorders>
              <w:tl2br w:val="nil"/>
              <w:tr2bl w:val="nil"/>
            </w:tcBorders>
            <w:vAlign w:val="center"/>
          </w:tcPr>
          <w:p>
            <w:pPr>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val="en-US" w:eastAsia="zh-CN"/>
              </w:rPr>
              <w:t>铜</w:t>
            </w:r>
          </w:p>
        </w:tc>
        <w:tc>
          <w:tcPr>
            <w:tcW w:w="0" w:type="auto"/>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第6部分：金属和类金属指标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5750.6-2023</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7.2 火焰原子吸收分光光度法</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原子吸收分光光度计</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AA-700</w:t>
            </w:r>
            <w:r>
              <w:rPr>
                <w:rFonts w:hint="default" w:ascii="Times New Roman" w:hAnsi="Times New Roman" w:eastAsia="宋体" w:cs="Times New Roman"/>
                <w:color w:val="auto"/>
                <w:sz w:val="21"/>
                <w:szCs w:val="21"/>
                <w:highlight w:val="none"/>
                <w:lang w:val="en-US" w:eastAsia="zh-CN"/>
              </w:rPr>
              <w:t>3</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rPr>
              <w:t>S</w:t>
            </w:r>
            <w:r>
              <w:rPr>
                <w:rFonts w:hint="default" w:ascii="Times New Roman" w:hAnsi="Times New Roman" w:eastAsia="宋体" w:cs="Times New Roman"/>
                <w:color w:val="auto"/>
                <w:sz w:val="21"/>
                <w:szCs w:val="21"/>
                <w:highlight w:val="none"/>
                <w:lang w:val="en-US" w:eastAsia="zh-CN"/>
              </w:rPr>
              <w:t>YZZ-SB-029-01</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vertAlign w:val="baseline"/>
                <w:lang w:val="en-US" w:eastAsia="zh-CN"/>
              </w:rPr>
              <w:t>0.2</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i w:val="0"/>
                <w:snapToGrid/>
                <w:color w:val="auto"/>
                <w:sz w:val="21"/>
                <w:szCs w:val="21"/>
                <w:highlight w:val="none"/>
                <w:u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31</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rPr>
              <w:t>锌</w:t>
            </w:r>
          </w:p>
        </w:tc>
        <w:tc>
          <w:tcPr>
            <w:tcW w:w="0" w:type="auto"/>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第6部分：金属和类金属指标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5750.6-2023</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8.1 火焰原子吸收分光光度法</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原子吸收分光光度计</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AA-700</w:t>
            </w:r>
            <w:r>
              <w:rPr>
                <w:rFonts w:hint="default" w:ascii="Times New Roman" w:hAnsi="Times New Roman" w:eastAsia="宋体" w:cs="Times New Roman"/>
                <w:color w:val="auto"/>
                <w:sz w:val="21"/>
                <w:szCs w:val="21"/>
                <w:highlight w:val="none"/>
                <w:lang w:val="en-US" w:eastAsia="zh-CN"/>
              </w:rPr>
              <w:t>3</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rPr>
              <w:t>S</w:t>
            </w:r>
            <w:r>
              <w:rPr>
                <w:rFonts w:hint="default" w:ascii="Times New Roman" w:hAnsi="Times New Roman" w:eastAsia="宋体" w:cs="Times New Roman"/>
                <w:color w:val="auto"/>
                <w:sz w:val="21"/>
                <w:szCs w:val="21"/>
                <w:highlight w:val="none"/>
                <w:lang w:val="en-US" w:eastAsia="zh-CN"/>
              </w:rPr>
              <w:t>YZZ-SB-029-01</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vertAlign w:val="baseline"/>
                <w:lang w:val="en-US" w:eastAsia="zh-CN"/>
              </w:rPr>
              <w:t>0.05</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i w:val="0"/>
                <w:snapToGrid/>
                <w:color w:val="auto"/>
                <w:sz w:val="21"/>
                <w:szCs w:val="21"/>
                <w:highlight w:val="none"/>
                <w:u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32</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氯化物</w:t>
            </w:r>
          </w:p>
        </w:tc>
        <w:tc>
          <w:tcPr>
            <w:tcW w:w="0" w:type="auto"/>
            <w:tcBorders>
              <w:tl2br w:val="nil"/>
              <w:tr2bl w:val="nil"/>
            </w:tcBorders>
            <w:vAlign w:val="center"/>
          </w:tcPr>
          <w:p>
            <w:pPr>
              <w:autoSpaceDN w:val="0"/>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第5部分：无机非金属指标</w:t>
            </w:r>
          </w:p>
          <w:p>
            <w:pPr>
              <w:autoSpaceDN w:val="0"/>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5750.5-2023</w:t>
            </w:r>
          </w:p>
          <w:p>
            <w:pPr>
              <w:autoSpaceDN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5.1 硝酸银容量法</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酸式滴定管（棕）</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25mL</w:t>
            </w:r>
          </w:p>
          <w:p>
            <w:pPr>
              <w:widowControl/>
              <w:spacing w:line="280" w:lineRule="exact"/>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SYZZ-SB-127-04</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sz w:val="21"/>
                <w:szCs w:val="21"/>
                <w:highlight w:val="none"/>
              </w:rPr>
              <w:t>1.0</w:t>
            </w:r>
          </w:p>
        </w:tc>
        <w:tc>
          <w:tcPr>
            <w:tcW w:w="0" w:type="auto"/>
            <w:tcBorders>
              <w:tl2br w:val="nil"/>
              <w:tr2bl w:val="nil"/>
            </w:tcBorders>
            <w:vAlign w:val="center"/>
          </w:tcPr>
          <w:p>
            <w:pPr>
              <w:autoSpaceDN w:val="0"/>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kern w:val="0"/>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33</w:t>
            </w:r>
          </w:p>
        </w:tc>
        <w:tc>
          <w:tcPr>
            <w:tcW w:w="0" w:type="auto"/>
            <w:gridSpan w:val="2"/>
            <w:tcBorders>
              <w:tl2br w:val="nil"/>
              <w:tr2bl w:val="nil"/>
            </w:tcBorders>
            <w:vAlign w:val="center"/>
          </w:tcPr>
          <w:p>
            <w:pPr>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val="en-US" w:eastAsia="zh-CN"/>
              </w:rPr>
              <w:t>硫酸盐</w:t>
            </w:r>
          </w:p>
        </w:tc>
        <w:tc>
          <w:tcPr>
            <w:tcW w:w="0" w:type="auto"/>
            <w:tcBorders>
              <w:tl2br w:val="nil"/>
              <w:tr2bl w:val="nil"/>
            </w:tcBorders>
            <w:vAlign w:val="center"/>
          </w:tcPr>
          <w:p>
            <w:pPr>
              <w:autoSpaceDN w:val="0"/>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第5部分：无机非金属指标</w:t>
            </w:r>
          </w:p>
          <w:p>
            <w:pPr>
              <w:autoSpaceDN w:val="0"/>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5750.5-2023</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4.3 铬酸钡分光光度法 （热法）</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紫外可见分光光度计</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T6新世纪</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SYZZ-SB-028-02</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5</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34</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rPr>
              <w:t>溶解性总固体</w:t>
            </w:r>
          </w:p>
        </w:tc>
        <w:tc>
          <w:tcPr>
            <w:tcW w:w="0" w:type="auto"/>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第4部分：感官性状和物理指标</w:t>
            </w:r>
          </w:p>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5750.4-2023</w:t>
            </w:r>
          </w:p>
          <w:p>
            <w:pPr>
              <w:keepNext w:val="0"/>
              <w:keepLines w:val="0"/>
              <w:pageBreakBefore w:val="0"/>
              <w:kinsoku/>
              <w:wordWrap/>
              <w:overflowPunct/>
              <w:topLinePunct w:val="0"/>
              <w:autoSpaceDE/>
              <w:autoSpaceDN/>
              <w:bidi w:val="0"/>
              <w:adjustRightInd/>
              <w:spacing w:line="28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11.1 称重法</w:t>
            </w:r>
          </w:p>
        </w:tc>
        <w:tc>
          <w:tcPr>
            <w:tcW w:w="0" w:type="auto"/>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电子天平</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BSA124S</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vertAlign w:val="baseline"/>
              </w:rPr>
              <w:t>SY</w:t>
            </w:r>
            <w:r>
              <w:rPr>
                <w:rFonts w:hint="default" w:ascii="Times New Roman" w:hAnsi="Times New Roman" w:eastAsia="宋体" w:cs="Times New Roman"/>
                <w:color w:val="auto"/>
                <w:sz w:val="21"/>
                <w:szCs w:val="21"/>
                <w:highlight w:val="none"/>
                <w:vertAlign w:val="baseline"/>
                <w:lang w:val="en-US" w:eastAsia="zh-CN"/>
              </w:rPr>
              <w:t>ZZ</w:t>
            </w:r>
            <w:r>
              <w:rPr>
                <w:rFonts w:hint="default" w:ascii="Times New Roman" w:hAnsi="Times New Roman" w:eastAsia="宋体" w:cs="Times New Roman"/>
                <w:color w:val="auto"/>
                <w:sz w:val="21"/>
                <w:szCs w:val="21"/>
                <w:highlight w:val="none"/>
                <w:vertAlign w:val="baseline"/>
              </w:rPr>
              <w:t>-SB-0</w:t>
            </w:r>
            <w:r>
              <w:rPr>
                <w:rFonts w:hint="default" w:ascii="Times New Roman" w:hAnsi="Times New Roman" w:eastAsia="宋体" w:cs="Times New Roman"/>
                <w:color w:val="auto"/>
                <w:sz w:val="21"/>
                <w:szCs w:val="21"/>
                <w:highlight w:val="none"/>
                <w:vertAlign w:val="baseline"/>
                <w:lang w:val="en-US" w:eastAsia="zh-CN"/>
              </w:rPr>
              <w:t>07-01</w:t>
            </w:r>
          </w:p>
        </w:tc>
        <w:tc>
          <w:tcPr>
            <w:tcW w:w="0" w:type="auto"/>
            <w:tcBorders>
              <w:tl2br w:val="nil"/>
              <w:tr2bl w:val="nil"/>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vertAlign w:val="baseline"/>
                <w:lang w:val="en-US" w:eastAsia="zh-CN"/>
              </w:rPr>
              <w:t>——</w:t>
            </w:r>
          </w:p>
        </w:tc>
        <w:tc>
          <w:tcPr>
            <w:tcW w:w="0" w:type="auto"/>
            <w:tcBorders>
              <w:tl2br w:val="nil"/>
              <w:tr2bl w:val="nil"/>
            </w:tcBorders>
            <w:vAlign w:val="center"/>
          </w:tcPr>
          <w:p>
            <w:pPr>
              <w:kinsoku/>
              <w:autoSpaceDE/>
              <w:autoSpaceDN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35</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总硬度</w:t>
            </w:r>
          </w:p>
        </w:tc>
        <w:tc>
          <w:tcPr>
            <w:tcW w:w="0" w:type="auto"/>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第4部分：感官性状和物理指标</w:t>
            </w:r>
          </w:p>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5750.4-2023</w:t>
            </w:r>
          </w:p>
          <w:p>
            <w:pPr>
              <w:adjustRightInd w:val="0"/>
              <w:snapToGrid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10.1 乙二胺四乙酸二钠滴定法</w:t>
            </w:r>
          </w:p>
        </w:tc>
        <w:tc>
          <w:tcPr>
            <w:tcW w:w="0" w:type="auto"/>
            <w:tcBorders>
              <w:tl2br w:val="nil"/>
              <w:tr2bl w:val="nil"/>
            </w:tcBorders>
            <w:vAlign w:val="center"/>
          </w:tcPr>
          <w:p>
            <w:pPr>
              <w:keepNext w:val="0"/>
              <w:keepLines w:val="0"/>
              <w:pageBreakBefore w:val="0"/>
              <w:kinsoku/>
              <w:wordWrap/>
              <w:overflowPunct/>
              <w:topLinePunct w:val="0"/>
              <w:bidi w:val="0"/>
              <w:adjustRightInd w:val="0"/>
              <w:snapToGrid w:val="0"/>
              <w:spacing w:line="280" w:lineRule="exact"/>
              <w:jc w:val="center"/>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酸式滴定管</w:t>
            </w:r>
          </w:p>
          <w:p>
            <w:pPr>
              <w:keepNext w:val="0"/>
              <w:keepLines w:val="0"/>
              <w:pageBreakBefore w:val="0"/>
              <w:kinsoku/>
              <w:wordWrap/>
              <w:overflowPunct/>
              <w:topLinePunct w:val="0"/>
              <w:bidi w:val="0"/>
              <w:adjustRightInd w:val="0"/>
              <w:snapToGrid w:val="0"/>
              <w:spacing w:line="280" w:lineRule="exact"/>
              <w:jc w:val="center"/>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25mL</w:t>
            </w:r>
          </w:p>
          <w:p>
            <w:pPr>
              <w:keepNext w:val="0"/>
              <w:keepLines w:val="0"/>
              <w:pageBreakBefore w:val="0"/>
              <w:kinsoku/>
              <w:wordWrap/>
              <w:overflowPunct/>
              <w:topLinePunct w:val="0"/>
              <w:bidi w:val="0"/>
              <w:adjustRightInd w:val="0"/>
              <w:snapToGrid w:val="0"/>
              <w:spacing w:line="280" w:lineRule="exact"/>
              <w:jc w:val="center"/>
              <w:outlineLvl w:val="9"/>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b w:val="0"/>
                <w:bCs w:val="0"/>
                <w:color w:val="auto"/>
                <w:sz w:val="21"/>
                <w:szCs w:val="21"/>
                <w:highlight w:val="none"/>
                <w:lang w:val="en-US" w:eastAsia="zh-CN"/>
              </w:rPr>
              <w:t>SYZZ-SB-127-01</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000000"/>
                <w:sz w:val="21"/>
                <w:szCs w:val="21"/>
                <w:highlight w:val="none"/>
                <w:lang w:bidi="ar"/>
              </w:rPr>
              <w:t>1.0</w:t>
            </w:r>
          </w:p>
        </w:tc>
        <w:tc>
          <w:tcPr>
            <w:tcW w:w="0" w:type="auto"/>
            <w:tcBorders>
              <w:tl2br w:val="nil"/>
              <w:tr2bl w:val="nil"/>
            </w:tcBorders>
            <w:vAlign w:val="center"/>
          </w:tcPr>
          <w:p>
            <w:pPr>
              <w:autoSpaceDN w:val="0"/>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000000"/>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36</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rPr>
              <w:t>高锰酸盐指数（以O</w:t>
            </w:r>
            <w:r>
              <w:rPr>
                <w:rFonts w:hint="default" w:ascii="Times New Roman" w:hAnsi="Times New Roman" w:eastAsia="宋体" w:cs="Times New Roman"/>
                <w:bCs/>
                <w:color w:val="auto"/>
                <w:sz w:val="21"/>
                <w:szCs w:val="21"/>
                <w:highlight w:val="none"/>
                <w:vertAlign w:val="subscript"/>
              </w:rPr>
              <w:t>2</w:t>
            </w:r>
            <w:r>
              <w:rPr>
                <w:rFonts w:hint="default" w:ascii="Times New Roman" w:hAnsi="Times New Roman" w:eastAsia="宋体" w:cs="Times New Roman"/>
                <w:bCs/>
                <w:color w:val="auto"/>
                <w:sz w:val="21"/>
                <w:szCs w:val="21"/>
                <w:highlight w:val="none"/>
              </w:rPr>
              <w:t>计）</w:t>
            </w:r>
          </w:p>
        </w:tc>
        <w:tc>
          <w:tcPr>
            <w:tcW w:w="0" w:type="auto"/>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第7部分：有机物综合指标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5750.7-2023</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4.1 酸性高锰酸钾滴定法</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酸式滴定管（棕）</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25mL</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SYZZ-SB-127-04</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0.05</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b w:val="0"/>
                <w:i w:val="0"/>
                <w:snapToGrid/>
                <w:color w:val="auto"/>
                <w:sz w:val="21"/>
                <w:szCs w:val="21"/>
                <w:highlight w:val="none"/>
                <w:u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w:t>
            </w:r>
          </w:p>
        </w:tc>
        <w:tc>
          <w:tcPr>
            <w:tcW w:w="0" w:type="auto"/>
            <w:gridSpan w:val="2"/>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氨（以N计）</w:t>
            </w:r>
          </w:p>
        </w:tc>
        <w:tc>
          <w:tcPr>
            <w:tcW w:w="0" w:type="auto"/>
            <w:tcBorders>
              <w:tl2br w:val="nil"/>
              <w:tr2bl w:val="nil"/>
            </w:tcBorders>
            <w:vAlign w:val="center"/>
          </w:tcPr>
          <w:p>
            <w:pPr>
              <w:autoSpaceDN w:val="0"/>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第5部分：无机非金属指标</w:t>
            </w:r>
          </w:p>
          <w:p>
            <w:pPr>
              <w:autoSpaceDN w:val="0"/>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5750.5-2023</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11.1 纳氏试剂分光光度法</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紫外可见分光光度计</w:t>
            </w:r>
          </w:p>
          <w:p>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T6新世纪</w:t>
            </w:r>
          </w:p>
          <w:p>
            <w:pPr>
              <w:widowControl/>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sz w:val="21"/>
                <w:szCs w:val="21"/>
                <w:highlight w:val="none"/>
              </w:rPr>
              <w:t>SYZZ-SB-028-02</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kern w:val="0"/>
                <w:sz w:val="21"/>
                <w:szCs w:val="21"/>
                <w:highlight w:val="none"/>
              </w:rPr>
              <w:t>0.02</w:t>
            </w:r>
          </w:p>
        </w:tc>
        <w:tc>
          <w:tcPr>
            <w:tcW w:w="0" w:type="auto"/>
            <w:tcBorders>
              <w:tl2br w:val="nil"/>
              <w:tr2bl w:val="nil"/>
            </w:tcBorders>
            <w:vAlign w:val="center"/>
          </w:tcPr>
          <w:p>
            <w:pPr>
              <w:autoSpaceDN w:val="0"/>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kern w:val="0"/>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38</w:t>
            </w:r>
          </w:p>
        </w:tc>
        <w:tc>
          <w:tcPr>
            <w:tcW w:w="0" w:type="auto"/>
            <w:gridSpan w:val="2"/>
            <w:tcBorders>
              <w:tl2br w:val="nil"/>
              <w:tr2bl w:val="nil"/>
            </w:tcBorders>
            <w:vAlign w:val="center"/>
          </w:tcPr>
          <w:p>
            <w:pPr>
              <w:autoSpaceDN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总α放射性</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 第13部分：放射性指标</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5750.13-2023</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4.1 低本底总α检测法</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低本底α、β测量仪</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LB-2</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SYZZ-SB-075-02</w:t>
            </w:r>
          </w:p>
        </w:tc>
        <w:tc>
          <w:tcPr>
            <w:tcW w:w="1104" w:type="dxa"/>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0.02</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Bq/L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39</w:t>
            </w:r>
          </w:p>
        </w:tc>
        <w:tc>
          <w:tcPr>
            <w:tcW w:w="0" w:type="auto"/>
            <w:gridSpan w:val="2"/>
            <w:tcBorders>
              <w:tl2br w:val="nil"/>
              <w:tr2bl w:val="nil"/>
            </w:tcBorders>
            <w:vAlign w:val="center"/>
          </w:tcPr>
          <w:p>
            <w:pPr>
              <w:autoSpaceDN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总β放射性</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 第13部分：放射性指标</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5750.13-2023</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5.1 低本底总β检测法</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低本底α、β测量仪</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LB-2</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SYZZ-SB-075-02</w:t>
            </w:r>
          </w:p>
        </w:tc>
        <w:tc>
          <w:tcPr>
            <w:tcW w:w="1104" w:type="dxa"/>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0.03</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Bq/L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w:t>
            </w:r>
          </w:p>
        </w:tc>
        <w:tc>
          <w:tcPr>
            <w:tcW w:w="1425" w:type="dxa"/>
            <w:gridSpan w:val="2"/>
            <w:tcBorders>
              <w:tl2br w:val="nil"/>
              <w:tr2bl w:val="nil"/>
            </w:tcBorders>
            <w:vAlign w:val="center"/>
          </w:tcPr>
          <w:p>
            <w:pPr>
              <w:keepNext w:val="0"/>
              <w:keepLines w:val="0"/>
              <w:pageBreakBefore w:val="0"/>
              <w:widowControl/>
              <w:kinsoku/>
              <w:wordWrap/>
              <w:overflowPunct/>
              <w:topLinePunct w:val="0"/>
              <w:bidi w:val="0"/>
              <w:spacing w:line="28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bidi="ar"/>
              </w:rPr>
              <w:t>游离氯</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第11部分：消毒剂指标</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5750.11-2023</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4.3 现场N,N-二乙基对苯二胺（DPD）法</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多参数便携式水质分析仪LH-M900</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SYZZ-SB-114-06</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0.01</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41</w:t>
            </w:r>
          </w:p>
        </w:tc>
        <w:tc>
          <w:tcPr>
            <w:tcW w:w="1425"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总氯</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第11部分：消毒剂指标</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5750.11-2023</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5.1 现场 N,N-二乙基对苯二胺(DPD)法</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多参数便携式水质分析仪LH-M900</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SYZZ-SB-114-06</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0.02</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w:t>
            </w:r>
          </w:p>
        </w:tc>
        <w:tc>
          <w:tcPr>
            <w:tcW w:w="1425"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臭氧</w:t>
            </w:r>
          </w:p>
        </w:tc>
        <w:tc>
          <w:tcPr>
            <w:tcW w:w="3253" w:type="dxa"/>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第11部分：消毒剂指标</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5750.11-2023</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9.3 靛蓝现场测定法</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多参数便携式水质分析仪LH-M900</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SYZZ-SB-114-06</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0.01</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43</w:t>
            </w:r>
          </w:p>
        </w:tc>
        <w:tc>
          <w:tcPr>
            <w:tcW w:w="1425"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二氧化氯</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 第11部分：消毒剂指标</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5750.11-2023</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8.4 现场N,N-二乙基对苯二胺(DPD)法</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多参数便携式水质分析仪LH-M900</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SYZZ-SB-114-06</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0.02</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mg/L</w:t>
            </w:r>
          </w:p>
        </w:tc>
      </w:tr>
    </w:tbl>
    <w:p>
      <w:pPr>
        <w:keepNext w:val="0"/>
        <w:keepLines w:val="0"/>
        <w:pageBreakBefore w:val="0"/>
        <w:widowControl w:val="0"/>
        <w:kinsoku/>
        <w:wordWrap/>
        <w:overflowPunct/>
        <w:topLinePunct w:val="0"/>
        <w:bidi w:val="0"/>
        <w:adjustRightInd/>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b w:val="0"/>
          <w:bCs w:val="0"/>
          <w:color w:val="000000"/>
          <w:kern w:val="0"/>
          <w:sz w:val="24"/>
          <w:szCs w:val="24"/>
          <w:highlight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宋体" w:cs="Times New Roman"/>
          <w:b/>
          <w:bCs/>
          <w:kern w:val="0"/>
          <w:sz w:val="28"/>
          <w:szCs w:val="28"/>
          <w:highlight w:val="none"/>
        </w:rPr>
      </w:pPr>
      <w:r>
        <w:rPr>
          <w:rFonts w:hint="eastAsia" w:ascii="Times New Roman" w:hAnsi="Times New Roman" w:eastAsia="宋体" w:cs="Times New Roman"/>
          <w:b/>
          <w:bCs/>
          <w:kern w:val="0"/>
          <w:sz w:val="28"/>
          <w:szCs w:val="28"/>
          <w:highlight w:val="none"/>
          <w:lang w:val="en-US" w:eastAsia="zh-CN"/>
        </w:rPr>
        <w:t>3、评价标准</w:t>
      </w:r>
    </w:p>
    <w:p>
      <w:pPr>
        <w:keepNext w:val="0"/>
        <w:keepLines w:val="0"/>
        <w:pageBreakBefore w:val="0"/>
        <w:widowControl w:val="0"/>
        <w:kinsoku/>
        <w:wordWrap/>
        <w:overflowPunct/>
        <w:topLinePunct w:val="0"/>
        <w:bidi w:val="0"/>
        <w:adjustRightInd/>
        <w:snapToGrid w:val="0"/>
        <w:spacing w:line="360" w:lineRule="auto"/>
        <w:ind w:left="0" w:leftChars="0" w:right="0" w:rightChars="0" w:firstLine="480" w:firstLineChars="200"/>
        <w:jc w:val="both"/>
        <w:textAlignment w:val="auto"/>
        <w:outlineLvl w:val="9"/>
        <w:rPr>
          <w:rFonts w:hint="eastAsia" w:ascii="Times New Roman" w:hAnsi="Times New Roman" w:eastAsia="宋体" w:cs="Times New Roman"/>
          <w:b w:val="0"/>
          <w:bCs w:val="0"/>
          <w:color w:val="000000"/>
          <w:kern w:val="0"/>
          <w:sz w:val="24"/>
          <w:szCs w:val="24"/>
          <w:highlight w:val="none"/>
          <w:lang w:val="en-US" w:eastAsia="zh-CN" w:bidi="ar"/>
        </w:rPr>
      </w:pPr>
      <w:r>
        <w:rPr>
          <w:rFonts w:hint="eastAsia" w:ascii="Times New Roman" w:hAnsi="Times New Roman" w:eastAsia="宋体" w:cs="Times New Roman"/>
          <w:b w:val="0"/>
          <w:bCs w:val="0"/>
          <w:color w:val="000000"/>
          <w:kern w:val="0"/>
          <w:sz w:val="24"/>
          <w:szCs w:val="24"/>
          <w:highlight w:val="none"/>
          <w:lang w:val="en-US" w:eastAsia="zh-CN" w:bidi="ar"/>
        </w:rPr>
        <w:t>本项目检测结果评价主要依据</w:t>
      </w:r>
      <w:r>
        <w:rPr>
          <w:rFonts w:hint="default" w:ascii="Times New Roman" w:hAnsi="Times New Roman" w:eastAsia="宋体" w:cs="Times New Roman"/>
          <w:b w:val="0"/>
          <w:bCs w:val="0"/>
          <w:color w:val="000000"/>
          <w:kern w:val="0"/>
          <w:sz w:val="24"/>
          <w:szCs w:val="24"/>
          <w:highlight w:val="none"/>
          <w:lang w:val="en-US" w:eastAsia="zh-CN" w:bidi="ar"/>
        </w:rPr>
        <w:t>《生活饮用水卫生标准》（GB5749-2022）</w:t>
      </w:r>
      <w:r>
        <w:rPr>
          <w:rFonts w:hint="eastAsia" w:ascii="Times New Roman" w:hAnsi="Times New Roman" w:eastAsia="宋体" w:cs="Times New Roman"/>
          <w:b w:val="0"/>
          <w:bCs w:val="0"/>
          <w:color w:val="000000"/>
          <w:kern w:val="0"/>
          <w:sz w:val="24"/>
          <w:szCs w:val="24"/>
          <w:highlight w:val="none"/>
          <w:lang w:val="en-US" w:eastAsia="zh-CN" w:bidi="ar"/>
        </w:rPr>
        <w:t>进行，具体评价限值详见表3。</w:t>
      </w:r>
    </w:p>
    <w:tbl>
      <w:tblPr>
        <w:tblStyle w:val="15"/>
        <w:tblW w:w="4969"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460"/>
        <w:gridCol w:w="5074"/>
        <w:gridCol w:w="1721"/>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blHeader/>
        </w:trPr>
        <w:tc>
          <w:tcPr>
            <w:tcW w:w="325"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序号</w:t>
            </w:r>
          </w:p>
        </w:tc>
        <w:tc>
          <w:tcPr>
            <w:tcW w:w="1242"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检测项目</w:t>
            </w:r>
          </w:p>
        </w:tc>
        <w:tc>
          <w:tcPr>
            <w:tcW w:w="2562"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《生活饮用水卫生标准》（GB5749-2022）标准限值</w:t>
            </w:r>
          </w:p>
        </w:tc>
        <w:tc>
          <w:tcPr>
            <w:tcW w:w="869"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单位</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25"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1242"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总大肠菌群</w:t>
            </w:r>
          </w:p>
        </w:tc>
        <w:tc>
          <w:tcPr>
            <w:tcW w:w="2562"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不应检出</w:t>
            </w:r>
          </w:p>
        </w:tc>
        <w:tc>
          <w:tcPr>
            <w:tcW w:w="869"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MPN/100m</w:t>
            </w:r>
            <w:r>
              <w:rPr>
                <w:rFonts w:hint="default" w:ascii="Times New Roman" w:hAnsi="Times New Roman" w:eastAsia="宋体" w:cs="Times New Roman"/>
                <w:color w:val="auto"/>
                <w:sz w:val="21"/>
                <w:szCs w:val="21"/>
                <w:highlight w:val="none"/>
                <w:lang w:val="en-US" w:eastAsia="zh-CN"/>
              </w:rPr>
              <w:t>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25"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1242"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大肠埃希氏菌</w:t>
            </w:r>
          </w:p>
        </w:tc>
        <w:tc>
          <w:tcPr>
            <w:tcW w:w="2562"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不应检出</w:t>
            </w:r>
          </w:p>
        </w:tc>
        <w:tc>
          <w:tcPr>
            <w:tcW w:w="869"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MPN/100m</w:t>
            </w:r>
            <w:r>
              <w:rPr>
                <w:rFonts w:hint="default" w:ascii="Times New Roman" w:hAnsi="Times New Roman" w:eastAsia="宋体" w:cs="Times New Roman"/>
                <w:color w:val="auto"/>
                <w:sz w:val="21"/>
                <w:szCs w:val="21"/>
                <w:highlight w:val="none"/>
                <w:lang w:val="en-US" w:eastAsia="zh-CN"/>
              </w:rPr>
              <w:t>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菌落总数</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CFU/mL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砷</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0.01</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lang w:eastAsia="zh-CN"/>
              </w:rPr>
              <w:t>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镉</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0.005</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lang w:val="en-US" w:eastAsia="zh-CN"/>
              </w:rPr>
              <w:t>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铬（六价）</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0.05</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铅</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0.01</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lang w:val="en-US" w:eastAsia="zh-CN"/>
              </w:rPr>
              <w:t>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汞</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0.001</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氰化物</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0.05</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氟化物</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硝酸盐</w:t>
            </w:r>
            <w:r>
              <w:rPr>
                <w:rFonts w:hint="default" w:ascii="Times New Roman" w:hAnsi="Times New Roman" w:eastAsia="宋体" w:cs="Times New Roman"/>
                <w:color w:val="auto"/>
                <w:sz w:val="21"/>
                <w:szCs w:val="21"/>
                <w:highlight w:val="none"/>
                <w:lang w:eastAsia="zh-CN"/>
              </w:rPr>
              <w:t>（以</w:t>
            </w:r>
            <w:r>
              <w:rPr>
                <w:rFonts w:hint="default" w:ascii="Times New Roman" w:hAnsi="Times New Roman" w:eastAsia="宋体" w:cs="Times New Roman"/>
                <w:color w:val="auto"/>
                <w:sz w:val="21"/>
                <w:szCs w:val="21"/>
                <w:highlight w:val="none"/>
                <w:lang w:val="en-US" w:eastAsia="zh-CN"/>
              </w:rPr>
              <w:t>N计</w:t>
            </w:r>
            <w:r>
              <w:rPr>
                <w:rFonts w:hint="default" w:ascii="Times New Roman" w:hAnsi="Times New Roman" w:eastAsia="宋体" w:cs="Times New Roman"/>
                <w:color w:val="auto"/>
                <w:sz w:val="21"/>
                <w:szCs w:val="21"/>
                <w:highlight w:val="none"/>
                <w:lang w:eastAsia="zh-CN"/>
              </w:rPr>
              <w:t>）</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三氯甲烷</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0.06</w:t>
            </w:r>
          </w:p>
        </w:tc>
        <w:tc>
          <w:tcPr>
            <w:tcW w:w="869"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13</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一氯二溴甲烷</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w:t>
            </w:r>
          </w:p>
        </w:tc>
        <w:tc>
          <w:tcPr>
            <w:tcW w:w="869"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14</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二氯一溴甲烷</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0.06</w:t>
            </w:r>
          </w:p>
        </w:tc>
        <w:tc>
          <w:tcPr>
            <w:tcW w:w="869"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三溴甲烷</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w:t>
            </w:r>
          </w:p>
        </w:tc>
        <w:tc>
          <w:tcPr>
            <w:tcW w:w="869"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16</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三卤甲烷（包含</w:t>
            </w:r>
            <w:r>
              <w:rPr>
                <w:rFonts w:hint="default" w:ascii="Times New Roman" w:hAnsi="Times New Roman" w:eastAsia="宋体" w:cs="Times New Roman"/>
                <w:color w:val="auto"/>
                <w:sz w:val="21"/>
                <w:szCs w:val="21"/>
                <w:highlight w:val="none"/>
              </w:rPr>
              <w:t>三氯甲烷</w:t>
            </w:r>
            <w:r>
              <w:rPr>
                <w:rFonts w:hint="default" w:ascii="Times New Roman" w:hAnsi="Times New Roman" w:eastAsia="宋体" w:cs="Times New Roman"/>
                <w:color w:val="auto"/>
                <w:sz w:val="21"/>
                <w:szCs w:val="21"/>
                <w:highlight w:val="none"/>
                <w:lang w:val="en-US" w:eastAsia="zh-CN"/>
              </w:rPr>
              <w:t>、一氯二溴甲烷、二氯一溴甲烷、三溴甲烷）</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该类化合物中各种化合物的实测浓度与其各自限值的比值之和不超过1</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17</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二氯乙酸</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0.05</w:t>
            </w:r>
          </w:p>
        </w:tc>
        <w:tc>
          <w:tcPr>
            <w:tcW w:w="869"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18</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三氯乙酸</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w:t>
            </w:r>
          </w:p>
        </w:tc>
        <w:tc>
          <w:tcPr>
            <w:tcW w:w="869"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19</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溴酸盐</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0.01</w:t>
            </w:r>
          </w:p>
        </w:tc>
        <w:tc>
          <w:tcPr>
            <w:tcW w:w="869"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亚氯酸盐</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0.7</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21</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氯酸盐</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0.7</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22</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色度</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度</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23</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浑浊度</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NTU</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24</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臭和味</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无异臭、异味</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25</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肉眼可见物</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26</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pH</w:t>
            </w:r>
            <w:r>
              <w:rPr>
                <w:rFonts w:hint="default" w:ascii="Times New Roman" w:hAnsi="Times New Roman" w:eastAsia="宋体" w:cs="Times New Roman"/>
                <w:color w:val="auto"/>
                <w:sz w:val="21"/>
                <w:szCs w:val="21"/>
                <w:highlight w:val="none"/>
                <w:lang w:val="en-US" w:eastAsia="zh-CN"/>
              </w:rPr>
              <w:t>值</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不小于6.5且不大于8.5</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无量纲</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27</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铝</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28</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铁</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29</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锰</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铜</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31</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锌</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32</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氯化物</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250</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33</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硫酸盐</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250</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34</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溶解性总固体</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1000</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35</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总硬度</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450</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36</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高锰酸盐指数（以O</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rPr>
              <w:t>计）</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氨（以N计）</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0.5</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38</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总α放射性</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0.5（指导值）</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Bq/L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39</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总β放射性</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0.5（指导值）</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Bq/L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游离氯</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出厂水和末梢水限值≤2，出厂水余量≥0.3，末梢水余量≥0.05（与水接触时间≥30min）</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41</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总氯</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出厂水和末梢水限值≤3，出厂水余量≥0.5，末梢水余量≥0.05（与水接触时间≥120min）</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臭氧</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出厂水和末梢水限值≤0.3，末梢水余量≥0.02如采用其他协同消毒方式，消毒剂限值及余量应满足相应要求（与水接触时间≥12min）</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43</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二氧化氯</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出厂水和末梢水限值≤0.8，出厂水余量≥0.1，末梢水余量≥0.02（与水接触时间≥30min）</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mg/L</w:t>
            </w:r>
          </w:p>
        </w:tc>
      </w:tr>
    </w:tbl>
    <w:p>
      <w:pPr>
        <w:pStyle w:val="9"/>
        <w:keepNext w:val="0"/>
        <w:keepLines w:val="0"/>
        <w:pageBreakBefore w:val="0"/>
        <w:widowControl w:val="0"/>
        <w:numPr>
          <w:ilvl w:val="0"/>
          <w:numId w:val="0"/>
        </w:numPr>
        <w:kinsoku/>
        <w:wordWrap/>
        <w:overflowPunct/>
        <w:topLinePunct w:val="0"/>
        <w:bidi w:val="0"/>
        <w:snapToGrid/>
        <w:spacing w:line="360" w:lineRule="auto"/>
        <w:ind w:leftChars="0"/>
        <w:jc w:val="both"/>
        <w:textAlignment w:val="auto"/>
        <w:outlineLvl w:val="0"/>
        <w:rPr>
          <w:rFonts w:hint="eastAsia" w:ascii="Times New Roman" w:eastAsia="宋体" w:cs="Times New Roman"/>
          <w:b/>
          <w:bCs/>
          <w:color w:val="auto"/>
          <w:sz w:val="30"/>
          <w:szCs w:val="30"/>
          <w:highlight w:val="none"/>
          <w:lang w:val="en-US" w:eastAsia="zh-CN"/>
        </w:rPr>
      </w:pPr>
      <w:r>
        <w:rPr>
          <w:rFonts w:hint="eastAsia" w:ascii="Times New Roman" w:eastAsia="宋体" w:cs="Times New Roman"/>
          <w:b/>
          <w:bCs/>
          <w:color w:val="auto"/>
          <w:sz w:val="30"/>
          <w:szCs w:val="30"/>
          <w:highlight w:val="none"/>
          <w:lang w:val="en-US" w:eastAsia="zh-CN"/>
        </w:rPr>
        <w:t>三、检测结果分析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宋体" w:cs="Times New Roman"/>
          <w:b/>
          <w:bCs/>
          <w:kern w:val="0"/>
          <w:sz w:val="28"/>
          <w:szCs w:val="28"/>
          <w:highlight w:val="none"/>
          <w:lang w:val="en-US" w:eastAsia="zh-CN"/>
        </w:rPr>
      </w:pPr>
      <w:r>
        <w:rPr>
          <w:rFonts w:hint="eastAsia" w:ascii="Times New Roman" w:hAnsi="Times New Roman" w:eastAsia="宋体" w:cs="Times New Roman"/>
          <w:b/>
          <w:bCs/>
          <w:kern w:val="0"/>
          <w:sz w:val="28"/>
          <w:szCs w:val="28"/>
          <w:highlight w:val="none"/>
          <w:lang w:val="en-US" w:eastAsia="zh-CN"/>
        </w:rPr>
        <w:t>1、采样点位合格情况</w:t>
      </w:r>
    </w:p>
    <w:tbl>
      <w:tblPr>
        <w:tblStyle w:val="15"/>
        <w:tblW w:w="4979"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9"/>
        <w:gridCol w:w="4311"/>
        <w:gridCol w:w="2481"/>
        <w:gridCol w:w="248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sz w:val="21"/>
                <w:szCs w:val="21"/>
                <w:highlight w:val="none"/>
              </w:rPr>
              <w:t>序号</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采样点位</w:t>
            </w:r>
          </w:p>
        </w:tc>
        <w:tc>
          <w:tcPr>
            <w:tcW w:w="1250" w:type="pct"/>
            <w:tcBorders>
              <w:tl2br w:val="nil"/>
              <w:tr2bl w:val="nil"/>
            </w:tcBorders>
            <w:shd w:val="clear" w:color="auto" w:fill="auto"/>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水样类型</w:t>
            </w:r>
          </w:p>
        </w:tc>
        <w:tc>
          <w:tcPr>
            <w:tcW w:w="1249" w:type="pct"/>
            <w:tcBorders>
              <w:tl2br w:val="nil"/>
              <w:tr2bl w:val="nil"/>
            </w:tcBorders>
            <w:shd w:val="clear" w:color="auto" w:fill="auto"/>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不符合项</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rPr>
              <w:t>1</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南市群芳1泵房</w:t>
            </w:r>
          </w:p>
        </w:tc>
        <w:tc>
          <w:tcPr>
            <w:tcW w:w="2481" w:type="dxa"/>
            <w:tcBorders>
              <w:tl2br w:val="nil"/>
              <w:tr2bl w:val="nil"/>
            </w:tcBorders>
            <w:shd w:val="clear" w:color="auto" w:fill="auto"/>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管网末梢水</w:t>
            </w:r>
          </w:p>
        </w:tc>
        <w:tc>
          <w:tcPr>
            <w:tcW w:w="2480" w:type="dxa"/>
            <w:tcBorders>
              <w:tl2br w:val="nil"/>
              <w:tr2bl w:val="nil"/>
            </w:tcBorders>
            <w:shd w:val="clear" w:color="auto" w:fill="auto"/>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2</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南市近江东泵房</w:t>
            </w:r>
          </w:p>
        </w:tc>
        <w:tc>
          <w:tcPr>
            <w:tcW w:w="2481" w:type="dxa"/>
            <w:tcBorders>
              <w:tl2br w:val="nil"/>
              <w:tr2bl w:val="nil"/>
            </w:tcBorders>
            <w:shd w:val="clear" w:color="auto" w:fill="auto"/>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管网末梢水</w:t>
            </w:r>
          </w:p>
        </w:tc>
        <w:tc>
          <w:tcPr>
            <w:tcW w:w="2480" w:type="dxa"/>
            <w:tcBorders>
              <w:tl2br w:val="nil"/>
              <w:tr2bl w:val="nil"/>
            </w:tcBorders>
            <w:shd w:val="clear" w:color="auto" w:fill="auto"/>
            <w:vAlign w:val="center"/>
          </w:tcPr>
          <w:p>
            <w:pPr>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3</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sz w:val="21"/>
                <w:szCs w:val="21"/>
                <w:highlight w:val="none"/>
                <w:lang w:val="en-US" w:eastAsia="zh-CN"/>
              </w:rPr>
              <w:t>南市群芳2泵房</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4</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sz w:val="21"/>
                <w:szCs w:val="21"/>
                <w:highlight w:val="none"/>
                <w:lang w:val="en-US" w:eastAsia="zh-CN"/>
              </w:rPr>
              <w:t>沈阳体育总会</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5</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sz w:val="21"/>
                <w:szCs w:val="21"/>
                <w:highlight w:val="none"/>
                <w:lang w:val="en-US" w:eastAsia="zh-CN"/>
              </w:rPr>
              <w:t>丽园公寓</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6</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sz w:val="21"/>
                <w:szCs w:val="21"/>
                <w:highlight w:val="none"/>
                <w:lang w:val="en-US" w:eastAsia="zh-CN"/>
              </w:rPr>
              <w:t>省委64号</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7</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sz w:val="21"/>
                <w:szCs w:val="21"/>
                <w:highlight w:val="none"/>
                <w:lang w:val="en-US" w:eastAsia="zh-CN"/>
              </w:rPr>
              <w:t>二纬路6号</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8</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sz w:val="21"/>
                <w:szCs w:val="21"/>
                <w:highlight w:val="none"/>
                <w:lang w:val="en-US" w:eastAsia="zh-CN"/>
              </w:rPr>
              <w:t>北四经街6号</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9</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sz w:val="21"/>
                <w:szCs w:val="21"/>
                <w:highlight w:val="none"/>
                <w:lang w:val="en-US" w:eastAsia="zh-CN"/>
              </w:rPr>
              <w:t>中山路145号</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10</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sz w:val="21"/>
                <w:szCs w:val="21"/>
                <w:highlight w:val="none"/>
                <w:lang w:val="en-US" w:eastAsia="zh-CN"/>
              </w:rPr>
              <w:t>三利和平湾</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11</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sz w:val="21"/>
                <w:szCs w:val="21"/>
                <w:highlight w:val="none"/>
                <w:lang w:val="en-US" w:eastAsia="zh-CN"/>
              </w:rPr>
              <w:t>砂山新村</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12</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sz w:val="21"/>
                <w:szCs w:val="21"/>
                <w:highlight w:val="none"/>
                <w:lang w:val="en-US" w:eastAsia="zh-CN"/>
              </w:rPr>
              <w:t>砂山100号</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13</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sz w:val="21"/>
                <w:szCs w:val="21"/>
                <w:highlight w:val="none"/>
                <w:lang w:val="en-US" w:eastAsia="zh-CN"/>
              </w:rPr>
              <w:t>银河湾</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14</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sz w:val="21"/>
                <w:szCs w:val="21"/>
                <w:highlight w:val="none"/>
                <w:lang w:val="en-US" w:eastAsia="zh-CN"/>
              </w:rPr>
              <w:t>绿岛香湾</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15</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sz w:val="21"/>
                <w:szCs w:val="21"/>
                <w:highlight w:val="none"/>
                <w:lang w:val="en-US" w:eastAsia="zh-CN"/>
              </w:rPr>
              <w:t>长白苑</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16</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sz w:val="21"/>
                <w:szCs w:val="21"/>
                <w:highlight w:val="none"/>
                <w:lang w:val="en-US" w:eastAsia="zh-CN"/>
              </w:rPr>
              <w:t>滨河湾二期</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17</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sz w:val="21"/>
                <w:szCs w:val="21"/>
                <w:highlight w:val="none"/>
                <w:lang w:val="en-US" w:eastAsia="zh-CN"/>
              </w:rPr>
              <w:t>滨河湾一期</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18</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sz w:val="21"/>
                <w:szCs w:val="21"/>
                <w:highlight w:val="none"/>
                <w:lang w:val="en-US" w:eastAsia="zh-CN"/>
              </w:rPr>
              <w:t>光明花园</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19</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sz w:val="21"/>
                <w:szCs w:val="21"/>
                <w:highlight w:val="none"/>
                <w:lang w:val="en-US" w:eastAsia="zh-CN"/>
              </w:rPr>
              <w:t>经信委</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中国北方航空城</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宋体" w:cs="Times New Roman"/>
          <w:b/>
          <w:bCs/>
          <w:kern w:val="0"/>
          <w:sz w:val="28"/>
          <w:szCs w:val="28"/>
          <w:highlight w:val="none"/>
          <w:lang w:val="en-US" w:eastAsia="zh-CN"/>
        </w:rPr>
      </w:pPr>
      <w:r>
        <w:rPr>
          <w:rFonts w:hint="eastAsia" w:ascii="Times New Roman" w:hAnsi="Times New Roman" w:eastAsia="宋体" w:cs="Times New Roman"/>
          <w:b/>
          <w:bCs/>
          <w:kern w:val="0"/>
          <w:sz w:val="28"/>
          <w:szCs w:val="28"/>
          <w:highlight w:val="none"/>
          <w:lang w:val="en-US" w:eastAsia="zh-CN"/>
        </w:rPr>
        <w:t>2、检测项目合格情况</w:t>
      </w:r>
    </w:p>
    <w:tbl>
      <w:tblPr>
        <w:tblStyle w:val="15"/>
        <w:tblW w:w="4979"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9"/>
        <w:gridCol w:w="2264"/>
        <w:gridCol w:w="2264"/>
        <w:gridCol w:w="2264"/>
        <w:gridCol w:w="248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sz w:val="21"/>
                <w:szCs w:val="21"/>
                <w:highlight w:val="none"/>
              </w:rPr>
              <w:t>序号</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检测项目</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点位数</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合格数</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snapToGrid/>
                <w:color w:val="auto"/>
                <w:sz w:val="21"/>
                <w:szCs w:val="21"/>
                <w:highlight w:val="none"/>
                <w:u w:val="none"/>
                <w:lang w:val="en-US" w:eastAsia="zh-CN" w:bidi="ar-SA"/>
              </w:rPr>
            </w:pPr>
            <w:r>
              <w:rPr>
                <w:rFonts w:hint="default" w:ascii="Times New Roman" w:hAnsi="Times New Roman" w:eastAsia="宋体" w:cs="Times New Roman"/>
                <w:b w:val="0"/>
                <w:bCs w:val="0"/>
                <w:i w:val="0"/>
                <w:iCs w:val="0"/>
                <w:color w:val="auto"/>
                <w:kern w:val="0"/>
                <w:sz w:val="21"/>
                <w:szCs w:val="21"/>
                <w:u w:val="none"/>
                <w:lang w:val="en-US" w:eastAsia="zh-CN" w:bidi="ar"/>
              </w:rPr>
              <w:t>合格率</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总大肠菌群</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大肠埃希氏菌</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菌落总数</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4</w:t>
            </w:r>
          </w:p>
        </w:tc>
        <w:tc>
          <w:tcPr>
            <w:tcW w:w="0" w:type="auto"/>
            <w:tcBorders>
              <w:tl2br w:val="nil"/>
              <w:tr2bl w:val="nil"/>
            </w:tcBorders>
            <w:shd w:val="clear" w:color="auto" w:fill="auto"/>
            <w:vAlign w:val="center"/>
          </w:tcPr>
          <w:p>
            <w:pPr>
              <w:adjustRightInd w:val="0"/>
              <w:snapToGrid w:val="0"/>
              <w:spacing w:line="256"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砷</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5</w:t>
            </w:r>
          </w:p>
        </w:tc>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vertAlign w:val="baseline"/>
                <w:lang w:val="en-US" w:eastAsia="zh-CN"/>
              </w:rPr>
              <w:t>镉</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6</w:t>
            </w:r>
          </w:p>
        </w:tc>
        <w:tc>
          <w:tcPr>
            <w:tcW w:w="0" w:type="auto"/>
            <w:tcBorders>
              <w:tl2br w:val="nil"/>
              <w:tr2bl w:val="nil"/>
            </w:tcBorders>
            <w:shd w:val="clear" w:color="auto" w:fill="auto"/>
            <w:vAlign w:val="center"/>
          </w:tcPr>
          <w:p>
            <w:pPr>
              <w:adjustRightInd w:val="0"/>
              <w:snapToGrid w:val="0"/>
              <w:spacing w:line="256"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铬（六价）</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7</w:t>
            </w:r>
          </w:p>
        </w:tc>
        <w:tc>
          <w:tcPr>
            <w:tcW w:w="0" w:type="auto"/>
            <w:tcBorders>
              <w:tl2br w:val="nil"/>
              <w:tr2bl w:val="nil"/>
            </w:tcBorders>
            <w:shd w:val="clear" w:color="auto" w:fill="auto"/>
            <w:vAlign w:val="center"/>
          </w:tcPr>
          <w:p>
            <w:pPr>
              <w:adjustRightInd w:val="0"/>
              <w:snapToGrid w:val="0"/>
              <w:spacing w:line="256"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铅</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8</w:t>
            </w:r>
          </w:p>
        </w:tc>
        <w:tc>
          <w:tcPr>
            <w:tcW w:w="0" w:type="auto"/>
            <w:tcBorders>
              <w:tl2br w:val="nil"/>
              <w:tr2bl w:val="nil"/>
            </w:tcBorders>
            <w:shd w:val="clear" w:color="auto" w:fill="auto"/>
            <w:vAlign w:val="center"/>
          </w:tcPr>
          <w:p>
            <w:pPr>
              <w:adjustRightInd w:val="0"/>
              <w:snapToGrid w:val="0"/>
              <w:spacing w:line="256"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汞</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9</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氰化物</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10</w:t>
            </w:r>
          </w:p>
        </w:tc>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val="en-US" w:eastAsia="zh-CN"/>
              </w:rPr>
              <w:t>氟化物</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11</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硝酸盐</w:t>
            </w:r>
          </w:p>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（以</w:t>
            </w:r>
            <w:r>
              <w:rPr>
                <w:rFonts w:hint="default" w:ascii="Times New Roman" w:hAnsi="Times New Roman" w:eastAsia="宋体" w:cs="Times New Roman"/>
                <w:color w:val="auto"/>
                <w:sz w:val="21"/>
                <w:szCs w:val="21"/>
                <w:highlight w:val="none"/>
                <w:lang w:val="en-US" w:eastAsia="zh-CN"/>
              </w:rPr>
              <w:t>N计</w:t>
            </w:r>
            <w:r>
              <w:rPr>
                <w:rFonts w:hint="default" w:ascii="Times New Roman" w:hAnsi="Times New Roman" w:eastAsia="宋体" w:cs="Times New Roman"/>
                <w:color w:val="auto"/>
                <w:sz w:val="21"/>
                <w:szCs w:val="21"/>
                <w:highlight w:val="none"/>
                <w:lang w:eastAsia="zh-CN"/>
              </w:rPr>
              <w:t>）</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12</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三氯甲烷</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13</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一氯二溴甲烷</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14</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二氯一溴甲烷</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15</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三溴甲烷</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16</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val="0"/>
                <w:kern w:val="0"/>
                <w:sz w:val="21"/>
                <w:szCs w:val="21"/>
                <w:highlight w:val="none"/>
                <w:lang w:val="en-US" w:eastAsia="zh-CN" w:bidi="ar-SA"/>
              </w:rPr>
              <w:t>三卤甲烷</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17</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二氯乙酸</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18</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三氯乙酸</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19</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溴酸盐</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亚氯酸盐</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21</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氯酸盐</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22</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色度</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23</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浑浊度</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24</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臭和味</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25</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肉眼可见物</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26</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pH</w:t>
            </w:r>
            <w:r>
              <w:rPr>
                <w:rFonts w:hint="default" w:ascii="Times New Roman" w:hAnsi="Times New Roman" w:eastAsia="宋体" w:cs="Times New Roman"/>
                <w:color w:val="auto"/>
                <w:sz w:val="21"/>
                <w:szCs w:val="21"/>
                <w:highlight w:val="none"/>
                <w:lang w:val="en-US" w:eastAsia="zh-CN"/>
              </w:rPr>
              <w:t>值</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27</w:t>
            </w:r>
          </w:p>
        </w:tc>
        <w:tc>
          <w:tcPr>
            <w:tcW w:w="0" w:type="auto"/>
            <w:tcBorders>
              <w:tl2br w:val="nil"/>
              <w:tr2bl w:val="nil"/>
            </w:tcBorders>
            <w:shd w:val="clear" w:color="auto" w:fill="auto"/>
            <w:vAlign w:val="center"/>
          </w:tcPr>
          <w:p>
            <w:pPr>
              <w:adjustRightInd w:val="0"/>
              <w:snapToGrid w:val="0"/>
              <w:spacing w:line="256" w:lineRule="exact"/>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rPr>
              <w:t>铝</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28</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铁</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29</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锰</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30</w:t>
            </w:r>
          </w:p>
        </w:tc>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val="en-US" w:eastAsia="zh-CN"/>
              </w:rPr>
              <w:t>铜</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31</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rPr>
              <w:t>锌</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32</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氯化物</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33</w:t>
            </w:r>
          </w:p>
        </w:tc>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val="en-US" w:eastAsia="zh-CN"/>
              </w:rPr>
              <w:t>硫酸盐</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34</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rPr>
              <w:t>溶解性总固体</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35</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总硬度</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36</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rPr>
              <w:t>高锰酸盐指数（以O</w:t>
            </w:r>
            <w:r>
              <w:rPr>
                <w:rFonts w:hint="default" w:ascii="Times New Roman" w:hAnsi="Times New Roman" w:eastAsia="宋体" w:cs="Times New Roman"/>
                <w:bCs/>
                <w:color w:val="auto"/>
                <w:sz w:val="21"/>
                <w:szCs w:val="21"/>
                <w:highlight w:val="none"/>
                <w:vertAlign w:val="subscript"/>
              </w:rPr>
              <w:t>2</w:t>
            </w:r>
            <w:r>
              <w:rPr>
                <w:rFonts w:hint="default" w:ascii="Times New Roman" w:hAnsi="Times New Roman" w:eastAsia="宋体" w:cs="Times New Roman"/>
                <w:bCs/>
                <w:color w:val="auto"/>
                <w:sz w:val="21"/>
                <w:szCs w:val="21"/>
                <w:highlight w:val="none"/>
              </w:rPr>
              <w:t>计）</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37</w:t>
            </w:r>
          </w:p>
        </w:tc>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氨（以N计）</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38</w:t>
            </w:r>
          </w:p>
        </w:tc>
        <w:tc>
          <w:tcPr>
            <w:tcW w:w="0" w:type="auto"/>
            <w:tcBorders>
              <w:tl2br w:val="nil"/>
              <w:tr2bl w:val="nil"/>
            </w:tcBorders>
            <w:shd w:val="clear" w:color="auto" w:fill="auto"/>
            <w:vAlign w:val="center"/>
          </w:tcPr>
          <w:p>
            <w:pPr>
              <w:autoSpaceDN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总α放射性</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39</w:t>
            </w:r>
          </w:p>
        </w:tc>
        <w:tc>
          <w:tcPr>
            <w:tcW w:w="0" w:type="auto"/>
            <w:tcBorders>
              <w:tl2br w:val="nil"/>
              <w:tr2bl w:val="nil"/>
            </w:tcBorders>
            <w:shd w:val="clear" w:color="auto" w:fill="auto"/>
            <w:vAlign w:val="center"/>
          </w:tcPr>
          <w:p>
            <w:pPr>
              <w:autoSpaceDN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总β放射性</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40</w:t>
            </w:r>
          </w:p>
        </w:tc>
        <w:tc>
          <w:tcPr>
            <w:tcW w:w="0" w:type="auto"/>
            <w:tcBorders>
              <w:tl2br w:val="nil"/>
              <w:tr2bl w:val="nil"/>
            </w:tcBorders>
            <w:shd w:val="clear" w:color="auto" w:fill="auto"/>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b w:val="0"/>
                <w:i w:val="0"/>
                <w:snapToGrid/>
                <w:color w:val="auto"/>
                <w:kern w:val="2"/>
                <w:sz w:val="21"/>
                <w:szCs w:val="21"/>
                <w:highlight w:val="none"/>
                <w:u w:val="none"/>
                <w:lang w:val="en-US" w:eastAsia="zh-CN" w:bidi="ar-SA"/>
              </w:rPr>
            </w:pPr>
            <w:r>
              <w:rPr>
                <w:rFonts w:hint="default" w:ascii="Times New Roman" w:hAnsi="Times New Roman" w:eastAsia="宋体" w:cs="Times New Roman"/>
                <w:b w:val="0"/>
                <w:i w:val="0"/>
                <w:snapToGrid/>
                <w:color w:val="auto"/>
                <w:sz w:val="21"/>
                <w:szCs w:val="21"/>
                <w:highlight w:val="none"/>
                <w:u w:val="none"/>
                <w:lang w:val="en-US" w:eastAsia="zh-CN"/>
              </w:rPr>
              <w:t>游离氯</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41</w:t>
            </w:r>
          </w:p>
        </w:tc>
        <w:tc>
          <w:tcPr>
            <w:tcW w:w="0" w:type="auto"/>
            <w:tcBorders>
              <w:tl2br w:val="nil"/>
              <w:tr2bl w:val="nil"/>
            </w:tcBorders>
            <w:shd w:val="clear" w:color="auto" w:fill="auto"/>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b w:val="0"/>
                <w:i w:val="0"/>
                <w:snapToGrid/>
                <w:color w:val="auto"/>
                <w:kern w:val="2"/>
                <w:sz w:val="21"/>
                <w:szCs w:val="21"/>
                <w:highlight w:val="none"/>
                <w:u w:val="none"/>
                <w:lang w:val="en-US" w:eastAsia="zh-CN" w:bidi="ar-SA"/>
              </w:rPr>
            </w:pPr>
            <w:r>
              <w:rPr>
                <w:rFonts w:hint="default" w:ascii="Times New Roman" w:hAnsi="Times New Roman" w:eastAsia="宋体" w:cs="Times New Roman"/>
                <w:b w:val="0"/>
                <w:i w:val="0"/>
                <w:snapToGrid/>
                <w:color w:val="auto"/>
                <w:sz w:val="21"/>
                <w:szCs w:val="21"/>
                <w:highlight w:val="none"/>
                <w:u w:val="none"/>
                <w:lang w:val="en-US" w:eastAsia="zh-CN"/>
              </w:rPr>
              <w:t>总氯</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42</w:t>
            </w:r>
          </w:p>
        </w:tc>
        <w:tc>
          <w:tcPr>
            <w:tcW w:w="0" w:type="auto"/>
            <w:tcBorders>
              <w:tl2br w:val="nil"/>
              <w:tr2bl w:val="nil"/>
            </w:tcBorders>
            <w:shd w:val="clear" w:color="auto" w:fill="auto"/>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b w:val="0"/>
                <w:i w:val="0"/>
                <w:snapToGrid/>
                <w:color w:val="auto"/>
                <w:kern w:val="2"/>
                <w:sz w:val="21"/>
                <w:szCs w:val="21"/>
                <w:highlight w:val="none"/>
                <w:u w:val="none"/>
                <w:lang w:val="en-US" w:eastAsia="zh-CN" w:bidi="ar-SA"/>
              </w:rPr>
            </w:pPr>
            <w:r>
              <w:rPr>
                <w:rFonts w:hint="default" w:ascii="Times New Roman" w:hAnsi="Times New Roman" w:eastAsia="宋体" w:cs="Times New Roman"/>
                <w:b w:val="0"/>
                <w:i w:val="0"/>
                <w:snapToGrid/>
                <w:color w:val="auto"/>
                <w:sz w:val="21"/>
                <w:szCs w:val="21"/>
                <w:highlight w:val="none"/>
                <w:u w:val="none"/>
                <w:lang w:val="en-US" w:eastAsia="zh-CN"/>
              </w:rPr>
              <w:t>臭氧</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43</w:t>
            </w:r>
          </w:p>
        </w:tc>
        <w:tc>
          <w:tcPr>
            <w:tcW w:w="0" w:type="auto"/>
            <w:tcBorders>
              <w:tl2br w:val="nil"/>
              <w:tr2bl w:val="nil"/>
            </w:tcBorders>
            <w:shd w:val="clear" w:color="auto" w:fill="auto"/>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b w:val="0"/>
                <w:i w:val="0"/>
                <w:snapToGrid/>
                <w:color w:val="auto"/>
                <w:kern w:val="2"/>
                <w:sz w:val="21"/>
                <w:szCs w:val="21"/>
                <w:highlight w:val="none"/>
                <w:u w:val="none"/>
                <w:lang w:val="en-US" w:eastAsia="zh-CN" w:bidi="ar-SA"/>
              </w:rPr>
            </w:pPr>
            <w:r>
              <w:rPr>
                <w:rFonts w:hint="default" w:ascii="Times New Roman" w:hAnsi="Times New Roman" w:eastAsia="宋体" w:cs="Times New Roman"/>
                <w:b w:val="0"/>
                <w:i w:val="0"/>
                <w:snapToGrid/>
                <w:color w:val="auto"/>
                <w:sz w:val="21"/>
                <w:szCs w:val="21"/>
                <w:highlight w:val="none"/>
                <w:u w:val="none"/>
                <w:lang w:val="en-US" w:eastAsia="zh-CN"/>
              </w:rPr>
              <w:t>二氧化氯</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937" w:beforeLines="300" w:line="360" w:lineRule="auto"/>
        <w:jc w:val="left"/>
        <w:textAlignment w:val="auto"/>
        <w:outlineLvl w:val="1"/>
        <w:rPr>
          <w:rFonts w:hint="default" w:ascii="Times New Roman" w:hAnsi="Times New Roman" w:eastAsia="宋体" w:cs="Times New Roman"/>
          <w:b/>
          <w:bCs/>
          <w:kern w:val="0"/>
          <w:sz w:val="28"/>
          <w:szCs w:val="28"/>
          <w:highlight w:val="none"/>
          <w:lang w:val="en-US" w:eastAsia="zh-CN"/>
        </w:rPr>
      </w:pPr>
      <w:r>
        <w:rPr>
          <w:rFonts w:hint="eastAsia" w:ascii="Times New Roman" w:hAnsi="Times New Roman" w:eastAsia="宋体" w:cs="Times New Roman"/>
          <w:b/>
          <w:bCs/>
          <w:kern w:val="0"/>
          <w:sz w:val="28"/>
          <w:szCs w:val="28"/>
          <w:highlight w:val="none"/>
          <w:lang w:val="en-US" w:eastAsia="zh-CN"/>
        </w:rPr>
        <w:t>3、检测结果分析</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根据</w:t>
      </w:r>
      <w:r>
        <w:rPr>
          <w:rFonts w:hint="eastAsia" w:ascii="Times New Roman" w:hAnsi="Times New Roman" w:eastAsia="宋体" w:cs="Times New Roman"/>
          <w:sz w:val="24"/>
          <w:szCs w:val="24"/>
          <w:highlight w:val="none"/>
          <w:lang w:val="en-US" w:eastAsia="zh-CN"/>
        </w:rPr>
        <w:t>以上</w:t>
      </w:r>
      <w:r>
        <w:rPr>
          <w:rFonts w:hint="default" w:ascii="Times New Roman" w:hAnsi="Times New Roman" w:eastAsia="宋体" w:cs="Times New Roman"/>
          <w:sz w:val="24"/>
          <w:szCs w:val="24"/>
          <w:highlight w:val="none"/>
          <w:lang w:val="en-US" w:eastAsia="zh-CN"/>
        </w:rPr>
        <w:t>检测结果，本次沈阳市水务局2024年城市公共供水水质抽样检测项目第</w:t>
      </w:r>
      <w:r>
        <w:rPr>
          <w:rFonts w:hint="eastAsia" w:ascii="Times New Roman" w:hAnsi="Times New Roman" w:eastAsia="宋体" w:cs="Times New Roman"/>
          <w:sz w:val="24"/>
          <w:szCs w:val="24"/>
          <w:highlight w:val="none"/>
          <w:lang w:val="en-US" w:eastAsia="zh-CN"/>
        </w:rPr>
        <w:t>二</w:t>
      </w:r>
      <w:r>
        <w:rPr>
          <w:rFonts w:hint="default" w:ascii="Times New Roman" w:hAnsi="Times New Roman" w:eastAsia="宋体" w:cs="Times New Roman"/>
          <w:sz w:val="24"/>
          <w:szCs w:val="24"/>
          <w:highlight w:val="none"/>
          <w:lang w:val="en-US" w:eastAsia="zh-CN"/>
        </w:rPr>
        <w:t>季度随机抽取的20处城市供水管网末梢水43项指标检测中：</w:t>
      </w:r>
      <w:r>
        <w:rPr>
          <w:rFonts w:hint="default" w:ascii="Times New Roman" w:hAnsi="Times New Roman" w:eastAsia="宋体" w:cs="Times New Roman"/>
          <w:b w:val="0"/>
          <w:bCs w:val="0"/>
          <w:color w:val="auto"/>
          <w:sz w:val="24"/>
          <w:szCs w:val="24"/>
          <w:highlight w:val="none"/>
          <w:vertAlign w:val="baseline"/>
          <w:lang w:val="en-US" w:eastAsia="zh-CN"/>
        </w:rPr>
        <w:t>所有检测项目均符合《生活饮用水卫生标准》（GB5749-2022）标准要求，检测结果达标，达标率100%</w:t>
      </w:r>
      <w:r>
        <w:rPr>
          <w:rFonts w:hint="eastAsia" w:ascii="Times New Roman" w:hAnsi="Times New Roman" w:eastAsia="宋体" w:cs="Times New Roman"/>
          <w:b w:val="0"/>
          <w:bCs w:val="0"/>
          <w:color w:val="auto"/>
          <w:sz w:val="24"/>
          <w:szCs w:val="24"/>
          <w:highlight w:val="none"/>
          <w:vertAlign w:val="baseline"/>
          <w:lang w:val="en-US" w:eastAsia="zh-CN"/>
        </w:rPr>
        <w:t>。</w:t>
      </w:r>
    </w:p>
    <w:p>
      <w:pPr>
        <w:pStyle w:val="9"/>
        <w:keepNext w:val="0"/>
        <w:keepLines w:val="0"/>
        <w:pageBreakBefore w:val="0"/>
        <w:widowControl w:val="0"/>
        <w:numPr>
          <w:ilvl w:val="0"/>
          <w:numId w:val="1"/>
        </w:numPr>
        <w:kinsoku/>
        <w:wordWrap/>
        <w:overflowPunct/>
        <w:topLinePunct w:val="0"/>
        <w:bidi w:val="0"/>
        <w:snapToGrid/>
        <w:spacing w:line="360" w:lineRule="auto"/>
        <w:ind w:left="0" w:leftChars="0" w:firstLine="0" w:firstLineChars="0"/>
        <w:jc w:val="both"/>
        <w:textAlignment w:val="auto"/>
        <w:outlineLvl w:val="0"/>
        <w:rPr>
          <w:rFonts w:hint="eastAsia" w:ascii="Times New Roman" w:eastAsia="宋体" w:cs="Times New Roman"/>
          <w:b/>
          <w:bCs/>
          <w:color w:val="auto"/>
          <w:sz w:val="30"/>
          <w:szCs w:val="30"/>
          <w:highlight w:val="none"/>
          <w:lang w:val="en-US" w:eastAsia="zh-CN"/>
        </w:rPr>
      </w:pPr>
      <w:r>
        <w:rPr>
          <w:rFonts w:hint="eastAsia" w:ascii="Times New Roman" w:eastAsia="宋体" w:cs="Times New Roman"/>
          <w:b/>
          <w:bCs/>
          <w:color w:val="auto"/>
          <w:sz w:val="30"/>
          <w:szCs w:val="30"/>
          <w:highlight w:val="none"/>
          <w:lang w:val="en-US" w:eastAsia="zh-CN"/>
        </w:rPr>
        <w:t>建议</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lang w:val="en-US" w:eastAsia="zh-CN"/>
        </w:rPr>
        <w:t>建议水源管理部门加强水源水质保护和水质监测</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通过水源调动等方式增加库区水流动性，提高饮用水取水口库区水深，防范藻类异常增殖及其可能导致的水质风险</w:t>
      </w:r>
      <w:r>
        <w:rPr>
          <w:rFonts w:hint="eastAsia" w:ascii="Times New Roman" w:hAnsi="Times New Roman" w:eastAsia="宋体" w:cs="Times New Roman"/>
          <w:sz w:val="24"/>
          <w:szCs w:val="24"/>
          <w:highlight w:val="none"/>
          <w:lang w:val="en-US" w:eastAsia="zh-CN"/>
        </w:rPr>
        <w:t>。</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lang w:val="en-US" w:eastAsia="zh-CN"/>
        </w:rPr>
        <w:t>建议供水企业加强原水和水厂出口水水质监测，及时掌握水质变化情况，及时根据水质变化做好工艺调整等风险应对处理准备，防范水质异常风险，保障供水水质符合国家标准要求</w:t>
      </w:r>
      <w:r>
        <w:rPr>
          <w:rFonts w:hint="eastAsia" w:ascii="Times New Roman" w:hAnsi="Times New Roman" w:eastAsia="宋体" w:cs="Times New Roman"/>
          <w:sz w:val="24"/>
          <w:szCs w:val="24"/>
          <w:highlight w:val="none"/>
          <w:lang w:val="en-US" w:eastAsia="zh-CN"/>
        </w:rPr>
        <w:t>。</w:t>
      </w:r>
    </w:p>
    <w:p>
      <w:pPr>
        <w:rPr>
          <w:rFonts w:hint="default" w:ascii="Times New Roman" w:hAnsi="Times New Roman" w:eastAsia="宋体" w:cs="Times New Roman"/>
          <w:b/>
          <w:bCs/>
          <w:color w:val="auto"/>
          <w:sz w:val="30"/>
          <w:szCs w:val="30"/>
          <w:highlight w:val="none"/>
          <w:lang w:val="en-US" w:eastAsia="zh-CN"/>
        </w:rPr>
      </w:pPr>
    </w:p>
    <w:p>
      <w:pPr>
        <w:pStyle w:val="2"/>
        <w:rPr>
          <w:rFonts w:hint="default" w:ascii="Times New Roman" w:hAnsi="Times New Roman" w:eastAsia="宋体" w:cs="Times New Roman"/>
          <w:b/>
          <w:bCs/>
          <w:color w:val="auto"/>
          <w:sz w:val="30"/>
          <w:szCs w:val="30"/>
          <w:highlight w:val="none"/>
          <w:lang w:val="en-US" w:eastAsia="zh-CN"/>
        </w:rPr>
      </w:pPr>
    </w:p>
    <w:p>
      <w:pPr>
        <w:pStyle w:val="2"/>
        <w:rPr>
          <w:rFonts w:hint="default" w:ascii="Times New Roman" w:hAnsi="Times New Roman" w:eastAsia="宋体" w:cs="Times New Roman"/>
          <w:b/>
          <w:bCs/>
          <w:color w:val="auto"/>
          <w:sz w:val="30"/>
          <w:szCs w:val="30"/>
          <w:highlight w:val="none"/>
          <w:lang w:val="en-US" w:eastAsia="zh-CN"/>
        </w:rPr>
      </w:pPr>
    </w:p>
    <w:p>
      <w:pPr>
        <w:pStyle w:val="2"/>
        <w:rPr>
          <w:rFonts w:hint="default" w:ascii="Times New Roman" w:hAnsi="Times New Roman" w:eastAsia="宋体" w:cs="Times New Roman"/>
          <w:b/>
          <w:bCs/>
          <w:color w:val="auto"/>
          <w:sz w:val="30"/>
          <w:szCs w:val="30"/>
          <w:highlight w:val="none"/>
          <w:lang w:val="en-US" w:eastAsia="zh-CN"/>
        </w:rPr>
      </w:pPr>
      <w:bookmarkStart w:id="0" w:name="_GoBack"/>
      <w:bookmarkEnd w:id="0"/>
    </w:p>
    <w:p>
      <w:pPr>
        <w:pStyle w:val="8"/>
        <w:rPr>
          <w:rFonts w:hint="default" w:ascii="Times New Roman" w:hAnsi="Times New Roman" w:eastAsia="宋体" w:cs="Times New Roman"/>
          <w:b/>
          <w:bCs/>
          <w:color w:val="auto"/>
          <w:sz w:val="30"/>
          <w:szCs w:val="30"/>
          <w:highlight w:val="none"/>
          <w:lang w:val="en-US" w:eastAsia="zh-CN"/>
        </w:rPr>
      </w:pPr>
    </w:p>
    <w:p>
      <w:pPr>
        <w:pStyle w:val="9"/>
        <w:rPr>
          <w:rFonts w:hint="default" w:ascii="Times New Roman" w:hAnsi="Times New Roman" w:eastAsia="宋体" w:cs="Times New Roman"/>
          <w:b/>
          <w:bCs/>
          <w:color w:val="auto"/>
          <w:sz w:val="30"/>
          <w:szCs w:val="30"/>
          <w:highlight w:val="none"/>
          <w:lang w:val="en-US" w:eastAsia="zh-CN"/>
        </w:rPr>
      </w:pPr>
    </w:p>
    <w:p>
      <w:pPr>
        <w:rPr>
          <w:rFonts w:hint="default" w:ascii="Times New Roman" w:hAnsi="Times New Roman" w:eastAsia="宋体" w:cs="Times New Roman"/>
          <w:b/>
          <w:bCs/>
          <w:color w:val="auto"/>
          <w:sz w:val="30"/>
          <w:szCs w:val="30"/>
          <w:highlight w:val="none"/>
          <w:lang w:val="en-US" w:eastAsia="zh-CN"/>
        </w:rPr>
      </w:pPr>
    </w:p>
    <w:p>
      <w:pPr>
        <w:pStyle w:val="8"/>
        <w:rPr>
          <w:rFonts w:hint="default" w:ascii="Times New Roman" w:hAnsi="Times New Roman" w:eastAsia="宋体" w:cs="Times New Roman"/>
          <w:b/>
          <w:bCs/>
          <w:color w:val="auto"/>
          <w:sz w:val="30"/>
          <w:szCs w:val="30"/>
          <w:highlight w:val="none"/>
          <w:lang w:val="en-US" w:eastAsia="zh-CN"/>
        </w:rPr>
      </w:pPr>
    </w:p>
    <w:p>
      <w:pPr>
        <w:pStyle w:val="9"/>
        <w:ind w:left="0" w:leftChars="0" w:firstLine="0" w:firstLineChars="0"/>
        <w:jc w:val="both"/>
        <w:rPr>
          <w:rFonts w:hint="default"/>
          <w:color w:val="auto"/>
          <w:highlight w:val="none"/>
        </w:rPr>
      </w:pPr>
    </w:p>
    <w:p>
      <w:pPr>
        <w:rPr>
          <w:rFonts w:hint="default"/>
          <w:color w:val="auto"/>
          <w:highlight w:val="none"/>
        </w:rPr>
      </w:pPr>
    </w:p>
    <w:p>
      <w:pPr>
        <w:pStyle w:val="2"/>
        <w:rPr>
          <w:rFonts w:hint="default"/>
          <w:color w:val="auto"/>
          <w:highlight w:val="none"/>
        </w:rPr>
      </w:pPr>
    </w:p>
    <w:p>
      <w:pPr>
        <w:pStyle w:val="2"/>
        <w:rPr>
          <w:rFonts w:hint="default"/>
          <w:color w:val="auto"/>
          <w:highlight w:val="none"/>
        </w:rPr>
      </w:pPr>
    </w:p>
    <w:p>
      <w:pPr>
        <w:pStyle w:val="8"/>
        <w:spacing w:line="240" w:lineRule="auto"/>
        <w:ind w:left="0" w:leftChars="0" w:firstLine="482" w:firstLineChars="200"/>
        <w:jc w:val="both"/>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 xml:space="preserve">编写人：                 审核人：         </w:t>
      </w:r>
      <w:r>
        <w:rPr>
          <w:rFonts w:hint="default" w:ascii="Times New Roman" w:hAnsi="Times New Roman" w:cs="Times New Roman"/>
          <w:b/>
          <w:color w:val="auto"/>
          <w:sz w:val="24"/>
          <w:szCs w:val="24"/>
          <w:highlight w:val="none"/>
          <w:lang w:val="en-US" w:eastAsia="zh-CN"/>
        </w:rPr>
        <w:t xml:space="preserve"> </w:t>
      </w:r>
      <w:r>
        <w:rPr>
          <w:rFonts w:hint="eastAsia" w:ascii="Times New Roman" w:hAnsi="Times New Roman" w:cs="Times New Roman"/>
          <w:b/>
          <w:color w:val="auto"/>
          <w:sz w:val="24"/>
          <w:szCs w:val="24"/>
          <w:highlight w:val="none"/>
          <w:lang w:val="en-US" w:eastAsia="zh-CN"/>
        </w:rPr>
        <w:t xml:space="preserve">    </w:t>
      </w:r>
      <w:r>
        <w:rPr>
          <w:rFonts w:hint="default" w:ascii="Times New Roman" w:hAnsi="Times New Roman" w:cs="Times New Roman"/>
          <w:b/>
          <w:color w:val="auto"/>
          <w:sz w:val="24"/>
          <w:szCs w:val="24"/>
          <w:highlight w:val="none"/>
        </w:rPr>
        <w:t xml:space="preserve"> </w:t>
      </w:r>
      <w:r>
        <w:rPr>
          <w:rFonts w:hint="eastAsia" w:ascii="Times New Roman" w:hAnsi="Times New Roman" w:cs="Times New Roman"/>
          <w:b/>
          <w:color w:val="auto"/>
          <w:sz w:val="24"/>
          <w:szCs w:val="24"/>
          <w:highlight w:val="none"/>
          <w:lang w:eastAsia="zh-CN"/>
        </w:rPr>
        <w:t>签发</w:t>
      </w:r>
      <w:r>
        <w:rPr>
          <w:rFonts w:hint="default" w:ascii="Times New Roman" w:hAnsi="Times New Roman" w:cs="Times New Roman"/>
          <w:b/>
          <w:color w:val="auto"/>
          <w:sz w:val="24"/>
          <w:szCs w:val="24"/>
          <w:highlight w:val="none"/>
        </w:rPr>
        <w:t>人：</w:t>
      </w:r>
    </w:p>
    <w:p>
      <w:pPr>
        <w:spacing w:before="156" w:beforeLines="50"/>
        <w:ind w:firstLine="6026" w:firstLineChars="2501"/>
        <w:jc w:val="left"/>
        <w:rPr>
          <w:rFonts w:hint="default" w:ascii="Times New Roman" w:hAnsi="Times New Roman" w:eastAsia="宋体" w:cs="Times New Roman"/>
          <w:color w:val="auto"/>
          <w:sz w:val="24"/>
          <w:szCs w:val="24"/>
          <w:highlight w:val="none"/>
        </w:rPr>
      </w:pPr>
      <w:r>
        <w:rPr>
          <w:rFonts w:hint="default" w:ascii="Times New Roman" w:hAnsi="Times New Roman" w:cs="Times New Roman"/>
          <w:b/>
          <w:color w:val="auto"/>
          <w:sz w:val="24"/>
          <w:szCs w:val="24"/>
          <w:highlight w:val="none"/>
          <w:lang w:val="en-US" w:eastAsia="zh-CN"/>
        </w:rPr>
        <w:t xml:space="preserve">  </w:t>
      </w:r>
      <w:r>
        <w:rPr>
          <w:rFonts w:hint="eastAsia" w:ascii="Times New Roman" w:hAnsi="Times New Roman" w:cs="Times New Roman"/>
          <w:b/>
          <w:color w:val="auto"/>
          <w:sz w:val="24"/>
          <w:szCs w:val="24"/>
          <w:highlight w:val="none"/>
          <w:lang w:eastAsia="zh-CN"/>
        </w:rPr>
        <w:t>签发</w:t>
      </w:r>
      <w:r>
        <w:rPr>
          <w:rFonts w:hint="default" w:ascii="Times New Roman" w:hAnsi="Times New Roman" w:cs="Times New Roman"/>
          <w:b/>
          <w:color w:val="auto"/>
          <w:sz w:val="24"/>
          <w:szCs w:val="24"/>
          <w:highlight w:val="none"/>
        </w:rPr>
        <w:t>日期：</w:t>
      </w:r>
      <w:r>
        <w:rPr>
          <w:rFonts w:hint="default" w:ascii="Times New Roman" w:hAnsi="Times New Roman" w:cs="Times New Roman"/>
          <w:b/>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w:t>
      </w:r>
    </w:p>
    <w:p>
      <w:pPr>
        <w:jc w:val="center"/>
        <w:rPr>
          <w:color w:val="auto"/>
          <w:highlight w:val="none"/>
        </w:rPr>
      </w:pP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eastAsia="zh-CN"/>
        </w:rPr>
        <w:t>报告结束</w:t>
      </w:r>
      <w:r>
        <w:rPr>
          <w:rFonts w:hint="default" w:ascii="Times New Roman" w:hAnsi="Times New Roman" w:eastAsia="宋体" w:cs="Times New Roman"/>
          <w:color w:val="auto"/>
          <w:sz w:val="24"/>
          <w:szCs w:val="24"/>
          <w:highlight w:val="none"/>
          <w:lang w:val="en-US" w:eastAsia="zh-CN"/>
        </w:rPr>
        <w:t xml:space="preserve"> **</w:t>
      </w:r>
    </w:p>
    <w:sectPr>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eastAsiaTheme="minorEastAsia"/>
        <w:lang w:eastAsia="zh-CN"/>
      </w:rPr>
      <w:drawing>
        <wp:inline distT="0" distB="0" distL="114300" distR="114300">
          <wp:extent cx="887730" cy="438150"/>
          <wp:effectExtent l="0" t="0" r="7620" b="0"/>
          <wp:docPr id="2" name="图片 2" descr="15900397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90039704(1)"/>
                  <pic:cNvPicPr>
                    <a:picLocks noChangeAspect="1"/>
                  </pic:cNvPicPr>
                </pic:nvPicPr>
                <pic:blipFill>
                  <a:blip r:embed="rId1"/>
                  <a:stretch>
                    <a:fillRect/>
                  </a:stretch>
                </pic:blipFill>
                <pic:spPr>
                  <a:xfrm>
                    <a:off x="0" y="0"/>
                    <a:ext cx="887730" cy="4381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1E7FD5"/>
    <w:multiLevelType w:val="singleLevel"/>
    <w:tmpl w:val="791E7F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NjZjYjQwMDAyOWQ4YjBmOWM4OTBlZGM1NzhhZTAifQ=="/>
  </w:docVars>
  <w:rsids>
    <w:rsidRoot w:val="00000000"/>
    <w:rsid w:val="010701B4"/>
    <w:rsid w:val="019738E4"/>
    <w:rsid w:val="019E09F9"/>
    <w:rsid w:val="024E47D3"/>
    <w:rsid w:val="02625A24"/>
    <w:rsid w:val="030504B4"/>
    <w:rsid w:val="033C1CD4"/>
    <w:rsid w:val="03D34198"/>
    <w:rsid w:val="05213817"/>
    <w:rsid w:val="058A0174"/>
    <w:rsid w:val="061A2A1E"/>
    <w:rsid w:val="067C4B02"/>
    <w:rsid w:val="06EA385F"/>
    <w:rsid w:val="09C52FAD"/>
    <w:rsid w:val="0C1722FC"/>
    <w:rsid w:val="0D3610BC"/>
    <w:rsid w:val="0E7B07EE"/>
    <w:rsid w:val="0F665A53"/>
    <w:rsid w:val="0F740B9E"/>
    <w:rsid w:val="0F9A346D"/>
    <w:rsid w:val="100634BD"/>
    <w:rsid w:val="108A2388"/>
    <w:rsid w:val="10A73665"/>
    <w:rsid w:val="10E15DF3"/>
    <w:rsid w:val="12CA7F83"/>
    <w:rsid w:val="15D31223"/>
    <w:rsid w:val="15D32EB7"/>
    <w:rsid w:val="1630564C"/>
    <w:rsid w:val="175772DB"/>
    <w:rsid w:val="17B26F26"/>
    <w:rsid w:val="1A066F44"/>
    <w:rsid w:val="1A7075C9"/>
    <w:rsid w:val="1AAB0BB9"/>
    <w:rsid w:val="1C6D045B"/>
    <w:rsid w:val="1C98004D"/>
    <w:rsid w:val="1D8D5B41"/>
    <w:rsid w:val="20B41BC5"/>
    <w:rsid w:val="20C4156B"/>
    <w:rsid w:val="213B04D2"/>
    <w:rsid w:val="21E021EB"/>
    <w:rsid w:val="23323A4B"/>
    <w:rsid w:val="24660352"/>
    <w:rsid w:val="256C638A"/>
    <w:rsid w:val="267A1864"/>
    <w:rsid w:val="26DD5A94"/>
    <w:rsid w:val="2858769A"/>
    <w:rsid w:val="29236810"/>
    <w:rsid w:val="2AFD32CF"/>
    <w:rsid w:val="2B34219F"/>
    <w:rsid w:val="2B3C5143"/>
    <w:rsid w:val="2C5D2A08"/>
    <w:rsid w:val="2D746EF7"/>
    <w:rsid w:val="2F0225B0"/>
    <w:rsid w:val="2F30420C"/>
    <w:rsid w:val="2F91401B"/>
    <w:rsid w:val="303B7198"/>
    <w:rsid w:val="30414C18"/>
    <w:rsid w:val="30604340"/>
    <w:rsid w:val="3289118B"/>
    <w:rsid w:val="33841908"/>
    <w:rsid w:val="33AD55C7"/>
    <w:rsid w:val="342710B0"/>
    <w:rsid w:val="34303260"/>
    <w:rsid w:val="34480E6C"/>
    <w:rsid w:val="347144E8"/>
    <w:rsid w:val="34BD6BF7"/>
    <w:rsid w:val="35944042"/>
    <w:rsid w:val="35D67699"/>
    <w:rsid w:val="35EB1972"/>
    <w:rsid w:val="36331FDA"/>
    <w:rsid w:val="36F71103"/>
    <w:rsid w:val="385837FB"/>
    <w:rsid w:val="39FA7143"/>
    <w:rsid w:val="3B4036D2"/>
    <w:rsid w:val="3BCE5815"/>
    <w:rsid w:val="3D7430F2"/>
    <w:rsid w:val="3D8067FE"/>
    <w:rsid w:val="3EA91DBA"/>
    <w:rsid w:val="3EBF42F4"/>
    <w:rsid w:val="3EF912A8"/>
    <w:rsid w:val="3F2D60FA"/>
    <w:rsid w:val="3F4473A4"/>
    <w:rsid w:val="3FEE15C8"/>
    <w:rsid w:val="4020425F"/>
    <w:rsid w:val="405A4F52"/>
    <w:rsid w:val="41F8633F"/>
    <w:rsid w:val="420F48E4"/>
    <w:rsid w:val="42714EB4"/>
    <w:rsid w:val="429E5BDF"/>
    <w:rsid w:val="42BF39DC"/>
    <w:rsid w:val="430B6B84"/>
    <w:rsid w:val="43310EEC"/>
    <w:rsid w:val="44CD522E"/>
    <w:rsid w:val="45F627CF"/>
    <w:rsid w:val="46AE4B9D"/>
    <w:rsid w:val="46F02C09"/>
    <w:rsid w:val="497C0D3C"/>
    <w:rsid w:val="49853976"/>
    <w:rsid w:val="49DD60C4"/>
    <w:rsid w:val="4A0D478E"/>
    <w:rsid w:val="4A2362AE"/>
    <w:rsid w:val="4A517B26"/>
    <w:rsid w:val="4ACD31F7"/>
    <w:rsid w:val="4B8F35DB"/>
    <w:rsid w:val="4BC2099E"/>
    <w:rsid w:val="4DB97363"/>
    <w:rsid w:val="4E065717"/>
    <w:rsid w:val="4FDB0777"/>
    <w:rsid w:val="50303CBF"/>
    <w:rsid w:val="507E74DA"/>
    <w:rsid w:val="51F555DF"/>
    <w:rsid w:val="52155CE2"/>
    <w:rsid w:val="527611F3"/>
    <w:rsid w:val="52EC1E9B"/>
    <w:rsid w:val="534D15F3"/>
    <w:rsid w:val="540E0DA2"/>
    <w:rsid w:val="55176681"/>
    <w:rsid w:val="552B528C"/>
    <w:rsid w:val="57414BC1"/>
    <w:rsid w:val="57A87103"/>
    <w:rsid w:val="585D12D9"/>
    <w:rsid w:val="58FA12B2"/>
    <w:rsid w:val="59365358"/>
    <w:rsid w:val="596C0903"/>
    <w:rsid w:val="597C7523"/>
    <w:rsid w:val="5AFC004F"/>
    <w:rsid w:val="5B2B313A"/>
    <w:rsid w:val="5B88070B"/>
    <w:rsid w:val="5BAF7FD4"/>
    <w:rsid w:val="5C0C1740"/>
    <w:rsid w:val="5CF05425"/>
    <w:rsid w:val="5D8B52E7"/>
    <w:rsid w:val="5F1C4F39"/>
    <w:rsid w:val="5FA44939"/>
    <w:rsid w:val="5FE20AB4"/>
    <w:rsid w:val="60E370AB"/>
    <w:rsid w:val="62C83B73"/>
    <w:rsid w:val="633D68C2"/>
    <w:rsid w:val="634647C4"/>
    <w:rsid w:val="654E3F8B"/>
    <w:rsid w:val="66773121"/>
    <w:rsid w:val="66F0574C"/>
    <w:rsid w:val="67074387"/>
    <w:rsid w:val="685D409A"/>
    <w:rsid w:val="68E7622F"/>
    <w:rsid w:val="6999217D"/>
    <w:rsid w:val="69DF780A"/>
    <w:rsid w:val="6A6C1C1A"/>
    <w:rsid w:val="6AAD5C7C"/>
    <w:rsid w:val="6B0C5807"/>
    <w:rsid w:val="6BD864AC"/>
    <w:rsid w:val="6C4A510B"/>
    <w:rsid w:val="6C851557"/>
    <w:rsid w:val="6CBD4D4F"/>
    <w:rsid w:val="70A94143"/>
    <w:rsid w:val="723973EC"/>
    <w:rsid w:val="72C936E0"/>
    <w:rsid w:val="75252778"/>
    <w:rsid w:val="7659061D"/>
    <w:rsid w:val="7824677C"/>
    <w:rsid w:val="785452DC"/>
    <w:rsid w:val="78AB372E"/>
    <w:rsid w:val="7CD44912"/>
    <w:rsid w:val="7D7D4BCE"/>
    <w:rsid w:val="7E5F3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44"/>
    </w:rPr>
  </w:style>
  <w:style w:type="paragraph" w:styleId="4">
    <w:name w:val="heading 3"/>
    <w:basedOn w:val="1"/>
    <w:next w:val="1"/>
    <w:link w:val="30"/>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0正文"/>
    <w:unhideWhenUsed/>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styleId="5">
    <w:name w:val="Body Text"/>
    <w:basedOn w:val="1"/>
    <w:next w:val="6"/>
    <w:qFormat/>
    <w:uiPriority w:val="0"/>
    <w:pPr>
      <w:autoSpaceDE w:val="0"/>
      <w:autoSpaceDN w:val="0"/>
      <w:adjustRightInd w:val="0"/>
      <w:jc w:val="center"/>
    </w:pPr>
    <w:rPr>
      <w:rFonts w:ascii="楷体_GB2312" w:hAnsi="Times New Roman" w:eastAsia="楷体_GB2312" w:cs="Times New Roman"/>
      <w:color w:val="000000"/>
      <w:kern w:val="0"/>
      <w:sz w:val="24"/>
      <w:szCs w:val="21"/>
    </w:r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Body Text Indent"/>
    <w:basedOn w:val="1"/>
    <w:qFormat/>
    <w:uiPriority w:val="0"/>
    <w:pPr>
      <w:ind w:firstLine="640" w:firstLineChars="200"/>
    </w:pPr>
    <w:rPr>
      <w:rFonts w:ascii="仿宋_GB2312" w:eastAsia="仿宋_GB2312"/>
      <w:kern w:val="0"/>
      <w:sz w:val="32"/>
      <w:szCs w:val="20"/>
    </w:rPr>
  </w:style>
  <w:style w:type="paragraph" w:styleId="8">
    <w:name w:val="Body Text Indent 2"/>
    <w:basedOn w:val="1"/>
    <w:next w:val="9"/>
    <w:qFormat/>
    <w:uiPriority w:val="0"/>
    <w:pPr>
      <w:spacing w:after="120" w:line="480" w:lineRule="auto"/>
      <w:ind w:left="420"/>
    </w:pPr>
  </w:style>
  <w:style w:type="paragraph" w:styleId="9">
    <w:name w:val="Body Text First Indent"/>
    <w:basedOn w:val="5"/>
    <w:next w:val="1"/>
    <w:unhideWhenUsed/>
    <w:qFormat/>
    <w:uiPriority w:val="99"/>
    <w:pPr>
      <w:ind w:firstLine="420" w:firstLineChars="1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2"/>
    <w:basedOn w:val="1"/>
    <w:qFormat/>
    <w:uiPriority w:val="0"/>
    <w:pPr>
      <w:spacing w:after="120" w:line="480" w:lineRule="auto"/>
    </w:pPr>
  </w:style>
  <w:style w:type="paragraph" w:styleId="13">
    <w:name w:val="Title"/>
    <w:basedOn w:val="1"/>
    <w:next w:val="1"/>
    <w:qFormat/>
    <w:uiPriority w:val="0"/>
    <w:pPr>
      <w:spacing w:before="240" w:after="60"/>
      <w:jc w:val="center"/>
      <w:outlineLvl w:val="0"/>
    </w:pPr>
    <w:rPr>
      <w:rFonts w:ascii="等线 Light" w:hAnsi="等线 Light" w:cs="Times New Roman"/>
      <w:b/>
      <w:bCs/>
      <w:sz w:val="32"/>
      <w:szCs w:val="32"/>
    </w:rPr>
  </w:style>
  <w:style w:type="paragraph" w:styleId="14">
    <w:name w:val="Body Text First Indent 2"/>
    <w:basedOn w:val="7"/>
    <w:qFormat/>
    <w:uiPriority w:val="0"/>
    <w:pPr>
      <w:spacing w:after="120"/>
      <w:ind w:left="420" w:leftChars="200" w:firstLine="420"/>
    </w:pPr>
    <w:rPr>
      <w:sz w:val="21"/>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TML Sample"/>
    <w:qFormat/>
    <w:uiPriority w:val="0"/>
    <w:rPr>
      <w:rFonts w:ascii="Courier New" w:hAnsi="Courier New" w:eastAsia="仿宋" w:cs="Courier New"/>
      <w:sz w:val="24"/>
    </w:rPr>
  </w:style>
  <w:style w:type="paragraph" w:customStyle="1" w:styleId="19">
    <w:name w:val="样式 样式 左侧:  2 字符 + 左侧:  0.85 厘米 首行缩进:  2 字符1"/>
    <w:basedOn w:val="1"/>
    <w:qFormat/>
    <w:uiPriority w:val="0"/>
    <w:pPr>
      <w:ind w:left="482" w:firstLine="200" w:firstLineChars="200"/>
    </w:pPr>
    <w:rPr>
      <w:rFonts w:ascii="Times New Roman" w:hAnsi="Times New Roman"/>
      <w:szCs w:val="20"/>
    </w:rPr>
  </w:style>
  <w:style w:type="paragraph" w:customStyle="1" w:styleId="20">
    <w:name w:val="Other|1"/>
    <w:basedOn w:val="1"/>
    <w:qFormat/>
    <w:uiPriority w:val="0"/>
    <w:pPr>
      <w:widowControl w:val="0"/>
      <w:shd w:val="clear" w:color="auto" w:fill="auto"/>
      <w:spacing w:after="60" w:line="326" w:lineRule="auto"/>
      <w:ind w:firstLine="400"/>
    </w:pPr>
    <w:rPr>
      <w:rFonts w:ascii="宋体" w:hAnsi="宋体" w:eastAsia="宋体" w:cs="宋体"/>
      <w:sz w:val="20"/>
      <w:szCs w:val="20"/>
      <w:u w:val="none"/>
      <w:shd w:val="clear" w:color="auto" w:fill="auto"/>
      <w:lang w:val="zh-TW" w:eastAsia="zh-TW" w:bidi="zh-TW"/>
    </w:rPr>
  </w:style>
  <w:style w:type="paragraph" w:customStyle="1" w:styleId="21">
    <w:name w:val="Body text|4"/>
    <w:basedOn w:val="1"/>
    <w:qFormat/>
    <w:uiPriority w:val="0"/>
    <w:pPr>
      <w:widowControl w:val="0"/>
      <w:shd w:val="clear" w:color="auto" w:fill="auto"/>
      <w:spacing w:after="180"/>
      <w:ind w:firstLine="360"/>
    </w:pPr>
    <w:rPr>
      <w:rFonts w:ascii="宋体" w:hAnsi="宋体" w:eastAsia="宋体" w:cs="宋体"/>
      <w:sz w:val="17"/>
      <w:szCs w:val="17"/>
      <w:u w:val="none"/>
      <w:shd w:val="clear" w:color="auto" w:fill="auto"/>
      <w:lang w:val="zh-TW" w:eastAsia="zh-TW" w:bidi="zh-TW"/>
    </w:rPr>
  </w:style>
  <w:style w:type="character" w:customStyle="1" w:styleId="22">
    <w:name w:val="font11"/>
    <w:basedOn w:val="17"/>
    <w:qFormat/>
    <w:uiPriority w:val="0"/>
    <w:rPr>
      <w:rFonts w:hint="eastAsia" w:ascii="宋体" w:hAnsi="宋体" w:eastAsia="宋体" w:cs="宋体"/>
      <w:color w:val="000000"/>
      <w:sz w:val="22"/>
      <w:szCs w:val="22"/>
      <w:u w:val="none"/>
    </w:rPr>
  </w:style>
  <w:style w:type="character" w:customStyle="1" w:styleId="23">
    <w:name w:val="font21"/>
    <w:basedOn w:val="17"/>
    <w:qFormat/>
    <w:uiPriority w:val="0"/>
    <w:rPr>
      <w:rFonts w:hint="eastAsia" w:ascii="宋体" w:hAnsi="宋体" w:eastAsia="宋体" w:cs="宋体"/>
      <w:b/>
      <w:bCs/>
      <w:color w:val="000000"/>
      <w:sz w:val="22"/>
      <w:szCs w:val="22"/>
      <w:u w:val="none"/>
    </w:rPr>
  </w:style>
  <w:style w:type="character" w:customStyle="1" w:styleId="24">
    <w:name w:val="font31"/>
    <w:basedOn w:val="17"/>
    <w:qFormat/>
    <w:uiPriority w:val="0"/>
    <w:rPr>
      <w:rFonts w:hint="default" w:ascii="Times New Roman" w:hAnsi="Times New Roman" w:cs="Times New Roman"/>
      <w:b/>
      <w:bCs/>
      <w:color w:val="000000"/>
      <w:sz w:val="22"/>
      <w:szCs w:val="22"/>
      <w:u w:val="none"/>
    </w:rPr>
  </w:style>
  <w:style w:type="character" w:customStyle="1" w:styleId="25">
    <w:name w:val="font41"/>
    <w:basedOn w:val="17"/>
    <w:qFormat/>
    <w:uiPriority w:val="0"/>
    <w:rPr>
      <w:rFonts w:hint="eastAsia" w:ascii="宋体" w:hAnsi="宋体" w:eastAsia="宋体" w:cs="宋体"/>
      <w:b/>
      <w:bCs/>
      <w:color w:val="000000"/>
      <w:sz w:val="22"/>
      <w:szCs w:val="22"/>
      <w:u w:val="none"/>
    </w:rPr>
  </w:style>
  <w:style w:type="character" w:customStyle="1" w:styleId="26">
    <w:name w:val="font51"/>
    <w:basedOn w:val="17"/>
    <w:qFormat/>
    <w:uiPriority w:val="0"/>
    <w:rPr>
      <w:rFonts w:hint="eastAsia" w:ascii="宋体" w:hAnsi="宋体" w:eastAsia="宋体" w:cs="宋体"/>
      <w:b/>
      <w:bCs/>
      <w:color w:val="FF0000"/>
      <w:sz w:val="22"/>
      <w:szCs w:val="22"/>
      <w:u w:val="none"/>
    </w:rPr>
  </w:style>
  <w:style w:type="character" w:customStyle="1" w:styleId="27">
    <w:name w:val="font01"/>
    <w:basedOn w:val="17"/>
    <w:qFormat/>
    <w:uiPriority w:val="0"/>
    <w:rPr>
      <w:rFonts w:hint="default" w:ascii="Times New Roman" w:hAnsi="Times New Roman" w:cs="Times New Roman"/>
      <w:b/>
      <w:bCs/>
      <w:color w:val="FF0000"/>
      <w:sz w:val="22"/>
      <w:szCs w:val="22"/>
      <w:u w:val="none"/>
    </w:rPr>
  </w:style>
  <w:style w:type="character" w:customStyle="1" w:styleId="28">
    <w:name w:val="font71"/>
    <w:basedOn w:val="17"/>
    <w:qFormat/>
    <w:uiPriority w:val="0"/>
    <w:rPr>
      <w:rFonts w:hint="default" w:ascii="Times New Roman" w:hAnsi="Times New Roman" w:cs="Times New Roman"/>
      <w:b/>
      <w:bCs/>
      <w:color w:val="000000"/>
      <w:sz w:val="24"/>
      <w:szCs w:val="24"/>
      <w:u w:val="none"/>
    </w:rPr>
  </w:style>
  <w:style w:type="character" w:customStyle="1" w:styleId="29">
    <w:name w:val="font91"/>
    <w:basedOn w:val="17"/>
    <w:qFormat/>
    <w:uiPriority w:val="0"/>
    <w:rPr>
      <w:rFonts w:hint="eastAsia" w:ascii="宋体" w:hAnsi="宋体" w:eastAsia="宋体" w:cs="宋体"/>
      <w:b/>
      <w:bCs/>
      <w:color w:val="000000"/>
      <w:sz w:val="24"/>
      <w:szCs w:val="24"/>
      <w:u w:val="none"/>
    </w:rPr>
  </w:style>
  <w:style w:type="character" w:customStyle="1" w:styleId="30">
    <w:name w:val="标题 3 Char"/>
    <w:link w:val="4"/>
    <w:qFormat/>
    <w:uiPriority w:val="0"/>
    <w:rPr>
      <w:b/>
      <w:sz w:val="32"/>
    </w:rPr>
  </w:style>
  <w:style w:type="character" w:customStyle="1" w:styleId="31">
    <w:name w:val="font81"/>
    <w:basedOn w:val="17"/>
    <w:qFormat/>
    <w:uiPriority w:val="0"/>
    <w:rPr>
      <w:rFonts w:hint="eastAsia" w:ascii="宋体" w:hAnsi="宋体" w:eastAsia="宋体" w:cs="宋体"/>
      <w:b/>
      <w:bCs/>
      <w:color w:val="000000"/>
      <w:sz w:val="22"/>
      <w:szCs w:val="22"/>
      <w:u w:val="none"/>
    </w:rPr>
  </w:style>
  <w:style w:type="paragraph" w:customStyle="1" w:styleId="32">
    <w:name w:val="_Style 4"/>
    <w:next w:val="1"/>
    <w:qFormat/>
    <w:uiPriority w:val="1"/>
    <w:pPr>
      <w:widowControl w:val="0"/>
      <w:jc w:val="both"/>
    </w:pPr>
    <w:rPr>
      <w:rFonts w:ascii="Times New Roman" w:hAnsi="Times New Roman" w:eastAsia="仿宋_GB2312"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4909</Words>
  <Characters>7557</Characters>
  <Lines>0</Lines>
  <Paragraphs>0</Paragraphs>
  <TotalTime>3</TotalTime>
  <ScaleCrop>false</ScaleCrop>
  <LinksUpToDate>false</LinksUpToDate>
  <CharactersWithSpaces>7742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2021-03-01T02:10:00Z</dcterms:created>
  <dc:creator>Administrator</dc:creator>
  <cp:lastModifiedBy>╮勾勾手◇◆</cp:lastModifiedBy>
  <cp:lastPrinted>2023-04-07T01:01:00Z</cp:lastPrinted>
  <dcterms:modified xsi:type="dcterms:W3CDTF">2024-06-27T09:10:19Z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996143FFD8C34E99AFB7C894977A6B31</vt:lpwstr>
  </property>
  <property fmtid="{D5CDD505-2E9C-101B-9397-08002B2CF9AE}" pid="4" name="commondata">
    <vt:lpwstr>eyJoZGlkIjoiZTY5YWI1ZDllZjMwYTkxY2UzOWQxNWFiMzZiMGFlOTMifQ==</vt:lpwstr>
  </property>
</Properties>
</file>